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67D8" w:rsidRDefault="00C867D8" w:rsidP="009A0B8F">
      <w:pPr>
        <w:pStyle w:val="BodyText"/>
        <w:spacing w:before="0"/>
        <w:rPr>
          <w:rFonts w:asciiTheme="minorHAnsi" w:hAnsiTheme="minorHAnsi"/>
          <w:kern w:val="28"/>
          <w:sz w:val="20"/>
          <w:szCs w:val="20"/>
        </w:rPr>
      </w:pPr>
      <w:r>
        <w:rPr>
          <w:rFonts w:asciiTheme="minorHAnsi" w:hAnsiTheme="minorHAnsi"/>
          <w:noProof/>
          <w:kern w:val="28"/>
          <w:sz w:val="20"/>
          <w:szCs w:val="20"/>
        </w:rPr>
        <w:pict>
          <v:shapetype id="_x0000_t202" coordsize="21600,21600" o:spt="202" path="m,l,21600r21600,l21600,xe">
            <v:stroke joinstyle="miter"/>
            <v:path gradientshapeok="t" o:connecttype="rect"/>
          </v:shapetype>
          <v:shape id="_x0000_s1027" type="#_x0000_t202" style="position:absolute;left:0;text-align:left;margin-left:6.5pt;margin-top:-30pt;width:448pt;height:18.5pt;z-index:251659264" filled="f" stroked="f">
            <v:textbox>
              <w:txbxContent>
                <w:p w:rsidR="00EF7842" w:rsidRPr="00C867D8" w:rsidRDefault="00EF7842" w:rsidP="00C867D8">
                  <w:pPr>
                    <w:tabs>
                      <w:tab w:val="right" w:pos="8460"/>
                    </w:tabs>
                    <w:rPr>
                      <w:rFonts w:asciiTheme="minorHAnsi" w:hAnsiTheme="minorHAnsi"/>
                    </w:rPr>
                  </w:pPr>
                  <w:r w:rsidRPr="00C867D8">
                    <w:rPr>
                      <w:rFonts w:asciiTheme="minorHAnsi" w:hAnsiTheme="minorHAnsi"/>
                    </w:rPr>
                    <w:t>Expanded Polystyrene (EPS) Recycling Rate Report – Copy</w:t>
                  </w:r>
                  <w:r w:rsidRPr="00C867D8">
                    <w:rPr>
                      <w:rFonts w:asciiTheme="minorHAnsi" w:hAnsiTheme="minorHAnsi"/>
                    </w:rPr>
                    <w:tab/>
                    <w:t>Page 1</w:t>
                  </w:r>
                </w:p>
              </w:txbxContent>
            </v:textbox>
          </v:shape>
        </w:pict>
      </w:r>
      <w:r>
        <w:rPr>
          <w:rFonts w:asciiTheme="minorHAnsi" w:hAnsiTheme="minorHAnsi"/>
          <w:noProof/>
          <w:kern w:val="28"/>
          <w:sz w:val="20"/>
          <w:szCs w:val="20"/>
        </w:rPr>
        <w:pict>
          <v:rect id="_x0000_s1026" style="position:absolute;left:0;text-align:left;margin-left:-1.5pt;margin-top:-35pt;width:461.5pt;height:29.5pt;z-index:251658240" fillcolor="#9bbb59 [3206]" strokecolor="#f2f2f2 [3041]" strokeweight="3pt">
            <v:shadow on="t" type="perspective" color="#4e6128 [1606]" opacity=".5" offset="1pt" offset2="-1pt"/>
          </v:rect>
        </w:pict>
      </w:r>
    </w:p>
    <w:p w:rsidR="00C867D8" w:rsidRDefault="00C867D8" w:rsidP="009A0B8F">
      <w:pPr>
        <w:pStyle w:val="BodyText"/>
        <w:spacing w:before="0"/>
        <w:rPr>
          <w:rFonts w:asciiTheme="minorHAnsi" w:hAnsiTheme="minorHAnsi"/>
          <w:kern w:val="28"/>
          <w:sz w:val="20"/>
          <w:szCs w:val="20"/>
        </w:rPr>
      </w:pPr>
    </w:p>
    <w:p w:rsidR="00FA4CF2" w:rsidRDefault="009A0B8F" w:rsidP="00EB5F85">
      <w:pPr>
        <w:pStyle w:val="BodyText"/>
        <w:spacing w:before="0"/>
        <w:jc w:val="left"/>
        <w:rPr>
          <w:rFonts w:asciiTheme="minorHAnsi" w:hAnsiTheme="minorHAnsi"/>
          <w:kern w:val="28"/>
          <w:sz w:val="20"/>
          <w:szCs w:val="20"/>
        </w:rPr>
      </w:pPr>
      <w:r w:rsidRPr="00FA4CF2">
        <w:rPr>
          <w:rFonts w:asciiTheme="minorHAnsi" w:hAnsiTheme="minorHAnsi"/>
          <w:kern w:val="28"/>
          <w:sz w:val="20"/>
          <w:szCs w:val="20"/>
        </w:rPr>
        <w:t>Many are not aware expanded polystyrene (EPS) packaging is recyclable – and is being recycled successfully by businesses and consumers throughout the United States. The 2012 Expanded Polystyrene Recycling Rate Study (the “Rate Study”) was conducted by the EPS Industry</w:t>
      </w:r>
      <w:r>
        <w:rPr>
          <w:rFonts w:ascii="Garamond" w:hAnsi="Garamond"/>
          <w:sz w:val="21"/>
          <w:szCs w:val="21"/>
        </w:rPr>
        <w:t xml:space="preserve"> </w:t>
      </w:r>
      <w:r w:rsidRPr="00FA4CF2">
        <w:rPr>
          <w:rFonts w:asciiTheme="minorHAnsi" w:hAnsiTheme="minorHAnsi"/>
          <w:kern w:val="28"/>
          <w:sz w:val="20"/>
          <w:szCs w:val="20"/>
        </w:rPr>
        <w:t xml:space="preserve">Alliance (EPS-IA). To better track EPS recycling trends </w:t>
      </w:r>
      <w:r>
        <w:rPr>
          <w:rFonts w:asciiTheme="minorHAnsi" w:hAnsiTheme="minorHAnsi"/>
          <w:kern w:val="28"/>
          <w:sz w:val="20"/>
          <w:szCs w:val="20"/>
        </w:rPr>
        <w:t xml:space="preserve">EPS-IA </w:t>
      </w:r>
      <w:r w:rsidRPr="009A0B8F">
        <w:rPr>
          <w:rFonts w:asciiTheme="minorHAnsi" w:hAnsiTheme="minorHAnsi"/>
          <w:kern w:val="28"/>
          <w:sz w:val="20"/>
          <w:szCs w:val="20"/>
        </w:rPr>
        <w:t>gather</w:t>
      </w:r>
      <w:r>
        <w:rPr>
          <w:rFonts w:asciiTheme="minorHAnsi" w:hAnsiTheme="minorHAnsi"/>
          <w:kern w:val="28"/>
          <w:sz w:val="20"/>
          <w:szCs w:val="20"/>
        </w:rPr>
        <w:t xml:space="preserve">s </w:t>
      </w:r>
      <w:r w:rsidRPr="009A0B8F">
        <w:rPr>
          <w:rFonts w:asciiTheme="minorHAnsi" w:hAnsiTheme="minorHAnsi"/>
          <w:kern w:val="28"/>
          <w:sz w:val="20"/>
          <w:szCs w:val="20"/>
        </w:rPr>
        <w:t xml:space="preserve">data to reflect both post-commercial and post-residential collection streams. </w:t>
      </w:r>
      <w:r w:rsidR="00FA4CF2">
        <w:rPr>
          <w:rFonts w:asciiTheme="minorHAnsi" w:hAnsiTheme="minorHAnsi"/>
          <w:kern w:val="28"/>
          <w:sz w:val="20"/>
          <w:szCs w:val="20"/>
        </w:rPr>
        <w:t>Based on data received from forty-one EPS manufacturers and independent recyclers in the U.S., t</w:t>
      </w:r>
      <w:r w:rsidRPr="009A0B8F">
        <w:rPr>
          <w:rFonts w:asciiTheme="minorHAnsi" w:hAnsiTheme="minorHAnsi"/>
          <w:kern w:val="28"/>
          <w:sz w:val="20"/>
          <w:szCs w:val="20"/>
        </w:rPr>
        <w:t xml:space="preserve">he </w:t>
      </w:r>
      <w:r w:rsidR="00FA4CF2">
        <w:rPr>
          <w:rFonts w:asciiTheme="minorHAnsi" w:hAnsiTheme="minorHAnsi"/>
          <w:kern w:val="28"/>
          <w:sz w:val="20"/>
          <w:szCs w:val="20"/>
        </w:rPr>
        <w:t xml:space="preserve">2013 </w:t>
      </w:r>
      <w:r w:rsidRPr="009A0B8F">
        <w:rPr>
          <w:rFonts w:asciiTheme="minorHAnsi" w:hAnsiTheme="minorHAnsi"/>
          <w:kern w:val="28"/>
          <w:sz w:val="20"/>
          <w:szCs w:val="20"/>
        </w:rPr>
        <w:t>results reflect a</w:t>
      </w:r>
      <w:r w:rsidR="00FA4CF2">
        <w:rPr>
          <w:rFonts w:asciiTheme="minorHAnsi" w:hAnsiTheme="minorHAnsi"/>
          <w:kern w:val="28"/>
          <w:sz w:val="20"/>
          <w:szCs w:val="20"/>
        </w:rPr>
        <w:t xml:space="preserve"> modest decrease in </w:t>
      </w:r>
      <w:r w:rsidRPr="009A0B8F">
        <w:rPr>
          <w:rFonts w:asciiTheme="minorHAnsi" w:hAnsiTheme="minorHAnsi"/>
          <w:kern w:val="28"/>
          <w:sz w:val="20"/>
          <w:szCs w:val="20"/>
        </w:rPr>
        <w:t xml:space="preserve">the </w:t>
      </w:r>
      <w:r w:rsidR="00FA4CF2">
        <w:rPr>
          <w:rFonts w:asciiTheme="minorHAnsi" w:hAnsiTheme="minorHAnsi"/>
          <w:kern w:val="28"/>
          <w:sz w:val="20"/>
          <w:szCs w:val="20"/>
        </w:rPr>
        <w:t xml:space="preserve">amount </w:t>
      </w:r>
      <w:r w:rsidRPr="009A0B8F">
        <w:rPr>
          <w:rFonts w:asciiTheme="minorHAnsi" w:hAnsiTheme="minorHAnsi"/>
          <w:kern w:val="28"/>
          <w:sz w:val="20"/>
          <w:szCs w:val="20"/>
        </w:rPr>
        <w:t>of post-</w:t>
      </w:r>
      <w:r w:rsidR="00FA4CF2">
        <w:rPr>
          <w:rFonts w:asciiTheme="minorHAnsi" w:hAnsiTheme="minorHAnsi"/>
          <w:kern w:val="28"/>
          <w:sz w:val="20"/>
          <w:szCs w:val="20"/>
        </w:rPr>
        <w:t>industrial</w:t>
      </w:r>
      <w:r w:rsidRPr="009A0B8F">
        <w:rPr>
          <w:rFonts w:asciiTheme="minorHAnsi" w:hAnsiTheme="minorHAnsi"/>
          <w:kern w:val="28"/>
          <w:sz w:val="20"/>
          <w:szCs w:val="20"/>
        </w:rPr>
        <w:t xml:space="preserve"> pounds recycled</w:t>
      </w:r>
      <w:r w:rsidR="00FA4CF2">
        <w:rPr>
          <w:rFonts w:asciiTheme="minorHAnsi" w:hAnsiTheme="minorHAnsi"/>
          <w:kern w:val="28"/>
          <w:sz w:val="20"/>
          <w:szCs w:val="20"/>
        </w:rPr>
        <w:t xml:space="preserve"> and a substantial increase in the number of post-consumer pounds recycled.</w:t>
      </w:r>
    </w:p>
    <w:p w:rsidR="009A0B8F" w:rsidRPr="009A0B8F" w:rsidRDefault="009A0B8F" w:rsidP="00EB5F85">
      <w:pPr>
        <w:pStyle w:val="BodyText"/>
        <w:spacing w:before="0"/>
        <w:jc w:val="left"/>
        <w:rPr>
          <w:rFonts w:asciiTheme="minorHAnsi" w:hAnsiTheme="minorHAnsi"/>
          <w:kern w:val="28"/>
          <w:sz w:val="20"/>
          <w:szCs w:val="20"/>
        </w:rPr>
      </w:pPr>
      <w:r w:rsidRPr="009A0B8F">
        <w:rPr>
          <w:rFonts w:asciiTheme="minorHAnsi" w:hAnsiTheme="minorHAnsi"/>
          <w:kern w:val="28"/>
          <w:sz w:val="20"/>
          <w:szCs w:val="20"/>
        </w:rPr>
        <w:t> </w:t>
      </w:r>
    </w:p>
    <w:p w:rsidR="009A0B8F" w:rsidRPr="009A0B8F" w:rsidRDefault="009A0B8F" w:rsidP="00EB5F85">
      <w:pPr>
        <w:pStyle w:val="BodyText"/>
        <w:spacing w:before="0"/>
        <w:jc w:val="left"/>
        <w:rPr>
          <w:rFonts w:asciiTheme="minorHAnsi" w:hAnsiTheme="minorHAnsi"/>
          <w:kern w:val="28"/>
          <w:sz w:val="20"/>
          <w:szCs w:val="20"/>
        </w:rPr>
      </w:pPr>
      <w:r w:rsidRPr="009A0B8F">
        <w:rPr>
          <w:rFonts w:asciiTheme="minorHAnsi" w:hAnsiTheme="minorHAnsi"/>
          <w:kern w:val="28"/>
          <w:sz w:val="20"/>
          <w:szCs w:val="20"/>
        </w:rPr>
        <w:t xml:space="preserve">As reflected in Table 1, more than </w:t>
      </w:r>
      <w:r w:rsidR="00FA4CF2">
        <w:rPr>
          <w:rFonts w:asciiTheme="minorHAnsi" w:hAnsiTheme="minorHAnsi"/>
          <w:kern w:val="28"/>
          <w:sz w:val="20"/>
          <w:szCs w:val="20"/>
        </w:rPr>
        <w:t>125</w:t>
      </w:r>
      <w:r w:rsidRPr="009A0B8F">
        <w:rPr>
          <w:rFonts w:asciiTheme="minorHAnsi" w:hAnsiTheme="minorHAnsi"/>
          <w:kern w:val="28"/>
          <w:sz w:val="20"/>
          <w:szCs w:val="20"/>
        </w:rPr>
        <w:t xml:space="preserve"> million pounds of EPS was recycled during calendar year 20</w:t>
      </w:r>
      <w:r w:rsidR="00FA4CF2">
        <w:rPr>
          <w:rFonts w:asciiTheme="minorHAnsi" w:hAnsiTheme="minorHAnsi"/>
          <w:kern w:val="28"/>
          <w:sz w:val="20"/>
          <w:szCs w:val="20"/>
        </w:rPr>
        <w:t>13</w:t>
      </w:r>
      <w:r w:rsidRPr="009A0B8F">
        <w:rPr>
          <w:rFonts w:asciiTheme="minorHAnsi" w:hAnsiTheme="minorHAnsi"/>
          <w:kern w:val="28"/>
          <w:sz w:val="20"/>
          <w:szCs w:val="20"/>
        </w:rPr>
        <w:t xml:space="preserve">. This figure includes </w:t>
      </w:r>
      <w:r w:rsidR="00FA4CF2">
        <w:rPr>
          <w:rFonts w:asciiTheme="minorHAnsi" w:hAnsiTheme="minorHAnsi"/>
          <w:kern w:val="28"/>
          <w:sz w:val="20"/>
          <w:szCs w:val="20"/>
        </w:rPr>
        <w:t>72.8</w:t>
      </w:r>
      <w:r w:rsidRPr="009A0B8F">
        <w:rPr>
          <w:rFonts w:asciiTheme="minorHAnsi" w:hAnsiTheme="minorHAnsi"/>
          <w:kern w:val="28"/>
          <w:sz w:val="20"/>
          <w:szCs w:val="20"/>
        </w:rPr>
        <w:t xml:space="preserve"> million pounds of post-commercial </w:t>
      </w:r>
      <w:r w:rsidR="00FA4CF2">
        <w:rPr>
          <w:rFonts w:asciiTheme="minorHAnsi" w:hAnsiTheme="minorHAnsi"/>
          <w:kern w:val="28"/>
          <w:sz w:val="20"/>
          <w:szCs w:val="20"/>
        </w:rPr>
        <w:t xml:space="preserve">and post-consumer packaging </w:t>
      </w:r>
      <w:r w:rsidRPr="009A0B8F">
        <w:rPr>
          <w:rFonts w:asciiTheme="minorHAnsi" w:hAnsiTheme="minorHAnsi"/>
          <w:kern w:val="28"/>
          <w:sz w:val="20"/>
          <w:szCs w:val="20"/>
        </w:rPr>
        <w:t xml:space="preserve">and </w:t>
      </w:r>
      <w:r w:rsidR="00FA4CF2">
        <w:rPr>
          <w:rFonts w:asciiTheme="minorHAnsi" w:hAnsiTheme="minorHAnsi"/>
          <w:kern w:val="28"/>
          <w:sz w:val="20"/>
          <w:szCs w:val="20"/>
        </w:rPr>
        <w:t>54.5</w:t>
      </w:r>
      <w:r w:rsidRPr="009A0B8F">
        <w:rPr>
          <w:rFonts w:asciiTheme="minorHAnsi" w:hAnsiTheme="minorHAnsi"/>
          <w:kern w:val="28"/>
          <w:sz w:val="20"/>
          <w:szCs w:val="20"/>
        </w:rPr>
        <w:t xml:space="preserve"> million pounds of post-industrial recovery. Post-consumer and post-commercial recycling are defined as any material that is recycled after its intended end-use – while post-industrial recovery includes EPS facility scrap that is recycled but never served its intended </w:t>
      </w:r>
      <w:r w:rsidR="00FA4CF2">
        <w:rPr>
          <w:rFonts w:asciiTheme="minorHAnsi" w:hAnsiTheme="minorHAnsi"/>
          <w:kern w:val="28"/>
          <w:sz w:val="20"/>
          <w:szCs w:val="20"/>
        </w:rPr>
        <w:t>purpose as a packaging material or other end-use application</w:t>
      </w:r>
      <w:r w:rsidRPr="009A0B8F">
        <w:rPr>
          <w:rFonts w:asciiTheme="minorHAnsi" w:hAnsiTheme="minorHAnsi"/>
          <w:kern w:val="28"/>
          <w:sz w:val="20"/>
          <w:szCs w:val="20"/>
        </w:rPr>
        <w:t xml:space="preserve">.  </w:t>
      </w:r>
    </w:p>
    <w:p w:rsidR="00FA4CF2" w:rsidRPr="00FA4CF2" w:rsidRDefault="00FA4CF2" w:rsidP="00EB5F85">
      <w:pPr>
        <w:pStyle w:val="BodyText"/>
        <w:spacing w:before="0"/>
        <w:jc w:val="left"/>
        <w:rPr>
          <w:rFonts w:asciiTheme="minorHAnsi" w:hAnsiTheme="minorHAnsi"/>
          <w:kern w:val="28"/>
          <w:sz w:val="20"/>
          <w:szCs w:val="20"/>
        </w:rPr>
      </w:pPr>
    </w:p>
    <w:p w:rsidR="00FA4CF2" w:rsidRDefault="00FA4CF2" w:rsidP="00EB5F85">
      <w:pPr>
        <w:pStyle w:val="BodyText"/>
        <w:spacing w:before="0"/>
        <w:jc w:val="left"/>
        <w:rPr>
          <w:rFonts w:asciiTheme="minorHAnsi" w:hAnsiTheme="minorHAnsi"/>
          <w:kern w:val="28"/>
          <w:sz w:val="20"/>
          <w:szCs w:val="20"/>
        </w:rPr>
      </w:pPr>
      <w:r w:rsidRPr="00FA4CF2">
        <w:rPr>
          <w:rFonts w:asciiTheme="minorHAnsi" w:hAnsiTheme="minorHAnsi"/>
          <w:kern w:val="28"/>
          <w:sz w:val="20"/>
          <w:szCs w:val="20"/>
        </w:rPr>
        <w:t>Since 1991, EPS recycling has demonstrated stable, incremental growth and steady end-use market developments. This growth can be attributed to innovative and sustainable programs specifically geared to EPS recycling. Businesses and consumers play a key role in reducing the amount of packaging material that enters the waste stream</w:t>
      </w:r>
      <w:r w:rsidR="009A0B8F" w:rsidRPr="00FA4CF2">
        <w:rPr>
          <w:rFonts w:asciiTheme="minorHAnsi" w:hAnsiTheme="minorHAnsi"/>
          <w:kern w:val="28"/>
          <w:sz w:val="20"/>
          <w:szCs w:val="20"/>
        </w:rPr>
        <w:t> </w:t>
      </w:r>
      <w:r>
        <w:rPr>
          <w:rFonts w:asciiTheme="minorHAnsi" w:hAnsiTheme="minorHAnsi"/>
          <w:kern w:val="28"/>
          <w:sz w:val="20"/>
          <w:szCs w:val="20"/>
        </w:rPr>
        <w:t xml:space="preserve">by contributing to a shared-responsibility approach to recycling. </w:t>
      </w:r>
    </w:p>
    <w:p w:rsidR="00FA4CF2" w:rsidRDefault="00FA4CF2" w:rsidP="00EB5F85">
      <w:pPr>
        <w:pStyle w:val="BodyText"/>
        <w:spacing w:before="0"/>
        <w:jc w:val="left"/>
        <w:rPr>
          <w:rFonts w:asciiTheme="minorHAnsi" w:hAnsiTheme="minorHAnsi"/>
          <w:kern w:val="28"/>
          <w:sz w:val="20"/>
          <w:szCs w:val="20"/>
        </w:rPr>
      </w:pPr>
    </w:p>
    <w:p w:rsidR="009A0B8F" w:rsidRDefault="00FA4CF2" w:rsidP="00EB5F85">
      <w:pPr>
        <w:pStyle w:val="BodyText"/>
        <w:spacing w:before="0"/>
        <w:jc w:val="left"/>
        <w:rPr>
          <w:rFonts w:asciiTheme="minorHAnsi" w:hAnsiTheme="minorHAnsi"/>
          <w:kern w:val="28"/>
          <w:sz w:val="20"/>
          <w:szCs w:val="20"/>
        </w:rPr>
      </w:pPr>
      <w:r>
        <w:rPr>
          <w:rFonts w:asciiTheme="minorHAnsi" w:hAnsiTheme="minorHAnsi"/>
          <w:kern w:val="28"/>
          <w:sz w:val="20"/>
          <w:szCs w:val="20"/>
        </w:rPr>
        <w:t>As compared to the 2012 Rate Study, 2013 showed a notable growth</w:t>
      </w:r>
      <w:r w:rsidR="00C867D8">
        <w:rPr>
          <w:rFonts w:asciiTheme="minorHAnsi" w:hAnsiTheme="minorHAnsi"/>
          <w:kern w:val="28"/>
          <w:sz w:val="20"/>
          <w:szCs w:val="20"/>
        </w:rPr>
        <w:t xml:space="preserve"> for post-consumer and post-commercial recycling. This is supported by a strong reliance on high volume sources and proves the success of industry recycling efforts in the United States. Advances in EPS recycling technologies, collaborative collection programs and new end-use markets have continued to broaden EPS recycling opportunities. In addition, the EPS industry fosters ongoing development of new and innovative recycling initiatives that will promote further EPS recycling growth. These include recycled content resin and unique volume reduction technologies that are showing great potential.</w:t>
      </w:r>
    </w:p>
    <w:p w:rsidR="00C867D8" w:rsidRDefault="00AC172E" w:rsidP="00FA4CF2">
      <w:pPr>
        <w:pStyle w:val="BodyText"/>
        <w:spacing w:before="0"/>
        <w:rPr>
          <w:rFonts w:asciiTheme="minorHAnsi" w:hAnsiTheme="minorHAnsi"/>
          <w:kern w:val="28"/>
          <w:sz w:val="20"/>
          <w:szCs w:val="20"/>
        </w:rPr>
      </w:pPr>
      <w:r>
        <w:rPr>
          <w:noProof/>
          <w:color w:val="auto"/>
          <w:kern w:val="0"/>
          <w:sz w:val="24"/>
          <w:szCs w:val="24"/>
        </w:rPr>
        <w:drawing>
          <wp:anchor distT="36576" distB="36576" distL="36576" distR="36576" simplePos="0" relativeHeight="251666432" behindDoc="0" locked="0" layoutInCell="1" allowOverlap="1">
            <wp:simplePos x="0" y="0"/>
            <wp:positionH relativeFrom="column">
              <wp:posOffset>4343400</wp:posOffset>
            </wp:positionH>
            <wp:positionV relativeFrom="paragraph">
              <wp:posOffset>6734175</wp:posOffset>
            </wp:positionV>
            <wp:extent cx="7086600" cy="2676525"/>
            <wp:effectExtent l="0" t="0" r="0" b="0"/>
            <wp:wrapNone/>
            <wp:docPr id="11" name="Object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anchor>
        </w:drawing>
      </w:r>
    </w:p>
    <w:p w:rsidR="00C867D8" w:rsidRPr="00CF1424" w:rsidRDefault="00C867D8" w:rsidP="00FA4CF2">
      <w:pPr>
        <w:pStyle w:val="BodyText"/>
        <w:spacing w:before="0"/>
        <w:rPr>
          <w:rFonts w:asciiTheme="minorHAnsi" w:hAnsiTheme="minorHAnsi"/>
          <w:b/>
          <w:kern w:val="28"/>
          <w:sz w:val="20"/>
          <w:szCs w:val="20"/>
        </w:rPr>
      </w:pPr>
      <w:r w:rsidRPr="00CF1424">
        <w:rPr>
          <w:b/>
          <w:color w:val="auto"/>
          <w:kern w:val="0"/>
          <w:sz w:val="24"/>
          <w:szCs w:val="24"/>
        </w:rPr>
        <w:pict>
          <v:group id="_x0000_s1029" style="position:absolute;left:0;text-align:left;margin-left:342pt;margin-top:530.25pt;width:558pt;height:210.75pt;z-index:251662336" coordorigin="1106424,1118044" coordsize="70866,26765">
            <v:shape id="_x0000_s1030" type="#_x0000_t202" style="position:absolute;left:1107567;top:1120997;width:66751;height:3715;mso-wrap-distance-left:2.88pt;mso-wrap-distance-top:2.88pt;mso-wrap-distance-right:2.88pt;mso-wrap-distance-bottom:2.88pt" stroked="f" strokecolor="black [0]" strokeweight="0" insetpen="t">
              <v:fill color2="black [0]"/>
              <v:stroke>
                <o:left v:ext="view" color="black [0]"/>
                <o:top v:ext="view" color="black [0]"/>
                <o:right v:ext="view" color="black [0]"/>
                <o:bottom v:ext="view" color="black [0]"/>
                <o:column v:ext="view" color="black [0]" weight="0"/>
              </v:stroke>
              <v:shadow color="#ccc"/>
              <v:textbox style="mso-column-margin:5.7pt;mso-rotate-with-shape:t" inset="2.85pt,2.85pt,2.85pt,2.85pt">
                <w:txbxContent>
                  <w:p w:rsidR="00EF7842" w:rsidRDefault="00EF7842" w:rsidP="00C867D8">
                    <w:pPr>
                      <w:widowControl w:val="0"/>
                      <w:jc w:val="center"/>
                      <w:rPr>
                        <w:rFonts w:ascii="Verdana" w:hAnsi="Verdana"/>
                        <w:sz w:val="18"/>
                        <w:szCs w:val="18"/>
                      </w:rPr>
                    </w:pPr>
                    <w:r>
                      <w:rPr>
                        <w:rFonts w:ascii="Verdana" w:hAnsi="Verdana"/>
                        <w:sz w:val="18"/>
                        <w:szCs w:val="18"/>
                      </w:rPr>
                      <w:t>Figure 1</w:t>
                    </w:r>
                  </w:p>
                  <w:p w:rsidR="00EF7842" w:rsidRDefault="00EF7842" w:rsidP="00C867D8">
                    <w:pPr>
                      <w:widowControl w:val="0"/>
                      <w:jc w:val="center"/>
                      <w:rPr>
                        <w:rFonts w:ascii="Verdana" w:hAnsi="Verdana"/>
                        <w:sz w:val="18"/>
                        <w:szCs w:val="18"/>
                      </w:rPr>
                    </w:pPr>
                    <w:r>
                      <w:rPr>
                        <w:rFonts w:ascii="Verdana" w:hAnsi="Verdana"/>
                        <w:sz w:val="18"/>
                        <w:szCs w:val="18"/>
                      </w:rPr>
                      <w:t>Domestic Post-Consumer &amp; Post-Commercial EPS Recycling: 1990—2006</w:t>
                    </w:r>
                    <w:r>
                      <w:rPr>
                        <w:rFonts w:ascii="Verdana" w:hAnsi="Verdana"/>
                        <w:sz w:val="12"/>
                        <w:szCs w:val="12"/>
                        <w:vertAlign w:val="superscript"/>
                      </w:rPr>
                      <w:t>1</w:t>
                    </w:r>
                  </w:p>
                </w:txbxContent>
              </v:textbox>
            </v:shape>
            <v:rect id="_x0000_s1031" style="position:absolute;left:1106424;top:1118044;width:70866;height:26765;mso-wrap-distance-left:2.88pt;mso-wrap-distance-top:2.88pt;mso-wrap-distance-right:2.88pt;mso-wrap-distance-bottom:2.88pt" filled="f" fillcolor="black [0]" stroked="f" strokecolor="black [0]" strokeweight="0" insetpen="t" o:cliptowrap="t">
              <v:stroke>
                <o:left v:ext="view" color="black [0]" weight="0" joinstyle="miter" insetpen="t"/>
                <o:top v:ext="view" color="black [0]" weight="0" joinstyle="miter" insetpen="t"/>
                <o:right v:ext="view" color="black [0]" weight="0" joinstyle="miter" insetpen="t"/>
                <o:bottom v:ext="view" color="black [0]" weight="0" joinstyle="miter" insetpen="t"/>
                <o:column v:ext="view" color="black [0]"/>
              </v:stroke>
              <v:imagedata r:id="rId9" o:title=""/>
              <v:shadow color="#ccc"/>
            </v:rect>
          </v:group>
          <o:OLEObject Type="Embed" ProgID="MSGraph.Chart.8" ShapeID="_x0000_s1031" DrawAspect="Content" ObjectID="_1469437268" r:id="rId10"/>
        </w:pict>
      </w:r>
      <w:r w:rsidR="00CF1424" w:rsidRPr="00CF1424">
        <w:rPr>
          <w:rFonts w:asciiTheme="minorHAnsi" w:hAnsiTheme="minorHAnsi"/>
          <w:b/>
          <w:kern w:val="28"/>
          <w:sz w:val="20"/>
          <w:szCs w:val="20"/>
        </w:rPr>
        <w:t>Figure 1: Domestic Post-Consumer EPS Recycling (1990-2013)</w:t>
      </w:r>
    </w:p>
    <w:p w:rsidR="00E87CB2" w:rsidRDefault="00AC172E">
      <w:pPr>
        <w:spacing w:after="200" w:line="276" w:lineRule="auto"/>
        <w:rPr>
          <w:color w:val="auto"/>
          <w:kern w:val="0"/>
          <w:sz w:val="24"/>
          <w:szCs w:val="24"/>
        </w:rPr>
      </w:pPr>
      <w:r>
        <w:rPr>
          <w:noProof/>
          <w:color w:val="auto"/>
          <w:kern w:val="0"/>
          <w:sz w:val="24"/>
          <w:szCs w:val="24"/>
        </w:rPr>
        <w:drawing>
          <wp:inline distT="0" distB="0" distL="0" distR="0">
            <wp:extent cx="5486400" cy="22606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87CB2" w:rsidRPr="00CF1424" w:rsidRDefault="00C867D8" w:rsidP="005C0CF0">
      <w:pPr>
        <w:rPr>
          <w:rFonts w:asciiTheme="minorHAnsi" w:hAnsiTheme="minorHAnsi"/>
          <w:b/>
        </w:rPr>
      </w:pPr>
      <w:r w:rsidRPr="00CF1424">
        <w:rPr>
          <w:b/>
          <w:color w:val="auto"/>
          <w:kern w:val="0"/>
          <w:sz w:val="24"/>
          <w:szCs w:val="24"/>
        </w:rPr>
        <w:pict>
          <v:group id="_x0000_s1032" style="position:absolute;margin-left:342pt;margin-top:530.25pt;width:558pt;height:210.75pt;z-index:251664384" coordorigin="1106424,1118044" coordsize="70866,26765">
            <v:shape id="_x0000_s1033" type="#_x0000_t202" style="position:absolute;left:1107567;top:1120997;width:66751;height:3715;mso-wrap-distance-left:2.88pt;mso-wrap-distance-top:2.88pt;mso-wrap-distance-right:2.88pt;mso-wrap-distance-bottom:2.88pt" stroked="f" strokecolor="black [0]" strokeweight="0" insetpen="t">
              <v:fill color2="black [0]"/>
              <v:stroke>
                <o:left v:ext="view" color="black [0]"/>
                <o:top v:ext="view" color="black [0]"/>
                <o:right v:ext="view" color="black [0]"/>
                <o:bottom v:ext="view" color="black [0]"/>
                <o:column v:ext="view" color="black [0]" weight="0"/>
              </v:stroke>
              <v:shadow color="#ccc"/>
              <v:textbox style="mso-column-margin:5.7pt;mso-rotate-with-shape:t" inset="2.85pt,2.85pt,2.85pt,2.85pt">
                <w:txbxContent>
                  <w:p w:rsidR="00EF7842" w:rsidRDefault="00EF7842" w:rsidP="00C867D8">
                    <w:pPr>
                      <w:widowControl w:val="0"/>
                      <w:jc w:val="center"/>
                      <w:rPr>
                        <w:rFonts w:ascii="Verdana" w:hAnsi="Verdana"/>
                        <w:sz w:val="18"/>
                        <w:szCs w:val="18"/>
                      </w:rPr>
                    </w:pPr>
                    <w:r>
                      <w:rPr>
                        <w:rFonts w:ascii="Verdana" w:hAnsi="Verdana"/>
                        <w:sz w:val="18"/>
                        <w:szCs w:val="18"/>
                      </w:rPr>
                      <w:t>Figure 1</w:t>
                    </w:r>
                  </w:p>
                  <w:p w:rsidR="00EF7842" w:rsidRDefault="00EF7842" w:rsidP="00C867D8">
                    <w:pPr>
                      <w:widowControl w:val="0"/>
                      <w:jc w:val="center"/>
                      <w:rPr>
                        <w:rFonts w:ascii="Verdana" w:hAnsi="Verdana"/>
                        <w:sz w:val="18"/>
                        <w:szCs w:val="18"/>
                      </w:rPr>
                    </w:pPr>
                    <w:r>
                      <w:rPr>
                        <w:rFonts w:ascii="Verdana" w:hAnsi="Verdana"/>
                        <w:sz w:val="18"/>
                        <w:szCs w:val="18"/>
                      </w:rPr>
                      <w:t>Domestic Post-Consumer &amp; Post-Commercial EPS Recycling: 1990—2006</w:t>
                    </w:r>
                    <w:r>
                      <w:rPr>
                        <w:rFonts w:ascii="Verdana" w:hAnsi="Verdana"/>
                        <w:sz w:val="12"/>
                        <w:szCs w:val="12"/>
                        <w:vertAlign w:val="superscript"/>
                      </w:rPr>
                      <w:t>1</w:t>
                    </w:r>
                  </w:p>
                </w:txbxContent>
              </v:textbox>
            </v:shape>
            <v:rect id="_x0000_s1034" style="position:absolute;left:1106424;top:1118044;width:70866;height:26765;mso-wrap-distance-left:2.88pt;mso-wrap-distance-top:2.88pt;mso-wrap-distance-right:2.88pt;mso-wrap-distance-bottom:2.88pt" filled="f" fillcolor="black [0]" stroked="f" strokecolor="black [0]" strokeweight="0" insetpen="t" o:cliptowrap="t">
              <v:stroke>
                <o:left v:ext="view" color="black [0]" weight="0" joinstyle="miter" insetpen="t"/>
                <o:top v:ext="view" color="black [0]" weight="0" joinstyle="miter" insetpen="t"/>
                <o:right v:ext="view" color="black [0]" weight="0" joinstyle="miter" insetpen="t"/>
                <o:bottom v:ext="view" color="black [0]" weight="0" joinstyle="miter" insetpen="t"/>
                <o:column v:ext="view" color="black [0]"/>
              </v:stroke>
              <v:imagedata r:id="rId9" o:title=""/>
              <v:shadow color="#ccc"/>
            </v:rect>
          </v:group>
          <o:OLEObject Type="Embed" ProgID="MSGraph.Chart.8" ShapeID="_x0000_s1034" DrawAspect="Content" ObjectID="_1469437269" r:id="rId12"/>
        </w:pict>
      </w:r>
      <w:r w:rsidR="00E87CB2" w:rsidRPr="00CF1424">
        <w:rPr>
          <w:rFonts w:asciiTheme="minorHAnsi" w:hAnsiTheme="minorHAnsi"/>
          <w:b/>
        </w:rPr>
        <w:t>Table 1: 2013 Domestic EPS Recycling</w:t>
      </w:r>
      <w:r w:rsidR="00E313C7">
        <w:rPr>
          <w:rFonts w:asciiTheme="minorHAnsi" w:hAnsiTheme="minorHAnsi"/>
          <w:b/>
        </w:rPr>
        <w:tab/>
      </w:r>
      <w:r w:rsidR="00E313C7">
        <w:rPr>
          <w:rFonts w:asciiTheme="minorHAnsi" w:hAnsiTheme="minorHAnsi"/>
          <w:b/>
        </w:rPr>
        <w:tab/>
      </w:r>
      <w:r w:rsidR="00E313C7">
        <w:rPr>
          <w:rFonts w:asciiTheme="minorHAnsi" w:hAnsiTheme="minorHAnsi"/>
          <w:b/>
        </w:rPr>
        <w:tab/>
      </w:r>
    </w:p>
    <w:p w:rsidR="00E87CB2" w:rsidRPr="00CF1424" w:rsidRDefault="00E87CB2" w:rsidP="005C0CF0">
      <w:pPr>
        <w:rPr>
          <w:rFonts w:asciiTheme="minorHAnsi" w:hAnsiTheme="minorHAnsi"/>
          <w:b/>
        </w:rPr>
      </w:pPr>
      <w:r w:rsidRPr="00CF1424">
        <w:rPr>
          <w:rFonts w:asciiTheme="minorHAnsi" w:hAnsiTheme="minorHAnsi"/>
          <w:b/>
        </w:rPr>
        <w:t>(</w:t>
      </w:r>
      <w:proofErr w:type="gramStart"/>
      <w:r w:rsidRPr="00CF1424">
        <w:rPr>
          <w:rFonts w:asciiTheme="minorHAnsi" w:hAnsiTheme="minorHAnsi"/>
          <w:b/>
        </w:rPr>
        <w:t>millions</w:t>
      </w:r>
      <w:proofErr w:type="gramEnd"/>
      <w:r w:rsidRPr="00CF1424">
        <w:rPr>
          <w:rFonts w:asciiTheme="minorHAnsi" w:hAnsiTheme="minorHAnsi"/>
          <w:b/>
        </w:rPr>
        <w:t xml:space="preserve"> of pounds)</w:t>
      </w:r>
    </w:p>
    <w:p w:rsidR="005C0CF0" w:rsidRPr="00CF1424" w:rsidRDefault="005C0CF0" w:rsidP="005C0CF0">
      <w:pPr>
        <w:rPr>
          <w:rFonts w:asciiTheme="minorHAnsi" w:hAnsiTheme="minorHAnsi"/>
          <w:b/>
        </w:rPr>
      </w:pPr>
    </w:p>
    <w:p w:rsidR="005C0CF0" w:rsidRPr="00CF1424" w:rsidRDefault="00E87CB2" w:rsidP="005C0CF0">
      <w:pPr>
        <w:tabs>
          <w:tab w:val="decimal" w:leader="dot" w:pos="3150"/>
        </w:tabs>
        <w:rPr>
          <w:rFonts w:asciiTheme="minorHAnsi" w:hAnsiTheme="minorHAnsi"/>
          <w:b/>
        </w:rPr>
      </w:pPr>
      <w:r w:rsidRPr="00CF1424">
        <w:rPr>
          <w:rFonts w:asciiTheme="minorHAnsi" w:hAnsiTheme="minorHAnsi"/>
          <w:b/>
        </w:rPr>
        <w:t>Post-Consumer</w:t>
      </w:r>
      <w:r w:rsidR="005C0CF0" w:rsidRPr="00CF1424">
        <w:rPr>
          <w:rFonts w:asciiTheme="minorHAnsi" w:hAnsiTheme="minorHAnsi"/>
          <w:b/>
        </w:rPr>
        <w:tab/>
        <w:t>72.8</w:t>
      </w:r>
    </w:p>
    <w:p w:rsidR="005C0CF0" w:rsidRPr="00CF1424" w:rsidRDefault="005C0CF0" w:rsidP="005C0CF0">
      <w:pPr>
        <w:tabs>
          <w:tab w:val="decimal" w:leader="dot" w:pos="3150"/>
        </w:tabs>
        <w:rPr>
          <w:rFonts w:asciiTheme="minorHAnsi" w:hAnsiTheme="minorHAnsi"/>
          <w:b/>
        </w:rPr>
      </w:pPr>
      <w:r w:rsidRPr="00CF1424">
        <w:rPr>
          <w:rFonts w:asciiTheme="minorHAnsi" w:hAnsiTheme="minorHAnsi"/>
          <w:b/>
        </w:rPr>
        <w:t>Post-Industrial</w:t>
      </w:r>
      <w:r w:rsidRPr="00CF1424">
        <w:rPr>
          <w:rFonts w:asciiTheme="minorHAnsi" w:hAnsiTheme="minorHAnsi"/>
          <w:b/>
        </w:rPr>
        <w:tab/>
        <w:t>54.5</w:t>
      </w:r>
    </w:p>
    <w:p w:rsidR="005C0CF0" w:rsidRPr="00CF1424" w:rsidRDefault="005C0CF0" w:rsidP="005C0CF0">
      <w:pPr>
        <w:tabs>
          <w:tab w:val="decimal" w:leader="dot" w:pos="3150"/>
        </w:tabs>
        <w:rPr>
          <w:rFonts w:asciiTheme="minorHAnsi" w:hAnsiTheme="minorHAnsi"/>
          <w:b/>
        </w:rPr>
      </w:pPr>
      <w:r w:rsidRPr="00CF1424">
        <w:rPr>
          <w:rFonts w:asciiTheme="minorHAnsi" w:hAnsiTheme="minorHAnsi"/>
          <w:b/>
        </w:rPr>
        <w:t>Total EPS Recycling</w:t>
      </w:r>
      <w:r w:rsidRPr="00CF1424">
        <w:rPr>
          <w:rFonts w:asciiTheme="minorHAnsi" w:hAnsiTheme="minorHAnsi"/>
          <w:b/>
        </w:rPr>
        <w:tab/>
        <w:t>127.3</w:t>
      </w:r>
    </w:p>
    <w:p w:rsidR="00C867D8" w:rsidRPr="00CF1424" w:rsidRDefault="00C867D8" w:rsidP="005C0CF0">
      <w:pPr>
        <w:tabs>
          <w:tab w:val="left" w:leader="dot" w:pos="2880"/>
        </w:tabs>
        <w:rPr>
          <w:rFonts w:asciiTheme="minorHAnsi" w:hAnsiTheme="minorHAnsi"/>
          <w:b/>
        </w:rPr>
      </w:pPr>
      <w:r w:rsidRPr="00CF1424">
        <w:rPr>
          <w:rFonts w:asciiTheme="minorHAnsi" w:hAnsiTheme="minorHAnsi"/>
          <w:b/>
        </w:rPr>
        <w:br w:type="page"/>
      </w:r>
    </w:p>
    <w:p w:rsidR="009A0B8F" w:rsidRDefault="00EF7842" w:rsidP="009A0B8F">
      <w:pPr>
        <w:pStyle w:val="Heading1"/>
        <w:rPr>
          <w:rFonts w:asciiTheme="minorHAnsi" w:hAnsiTheme="minorHAnsi"/>
        </w:rPr>
      </w:pPr>
      <w:r>
        <w:rPr>
          <w:rFonts w:asciiTheme="minorHAnsi" w:hAnsiTheme="minorHAnsi"/>
          <w:noProof/>
        </w:rPr>
        <w:lastRenderedPageBreak/>
        <w:pict>
          <v:rect id="_x0000_s1028" style="position:absolute;margin-left:-10pt;margin-top:-49pt;width:466.5pt;height:29.5pt;z-index:251660288" fillcolor="#9bbb59 [3206]" strokecolor="#f2f2f2 [3041]" strokeweight="3pt">
            <v:shadow on="t" type="perspective" color="#4e6128 [1606]" opacity=".5" offset="1pt" offset2="-1pt"/>
          </v:rect>
        </w:pict>
      </w:r>
      <w:r w:rsidR="00CF1424">
        <w:rPr>
          <w:rFonts w:asciiTheme="minorHAnsi" w:hAnsiTheme="minorHAnsi"/>
          <w:noProof/>
        </w:rPr>
        <w:pict>
          <v:shape id="_x0000_s1037" type="#_x0000_t202" style="position:absolute;margin-left:-2pt;margin-top:-42pt;width:449.5pt;height:22.5pt;z-index:251667456" filled="f" stroked="f">
            <v:textbox>
              <w:txbxContent>
                <w:p w:rsidR="00EF7842" w:rsidRPr="00C867D8" w:rsidRDefault="00EF7842" w:rsidP="00CF1424">
                  <w:pPr>
                    <w:tabs>
                      <w:tab w:val="right" w:pos="8460"/>
                    </w:tabs>
                    <w:rPr>
                      <w:rFonts w:asciiTheme="minorHAnsi" w:hAnsiTheme="minorHAnsi"/>
                    </w:rPr>
                  </w:pPr>
                  <w:r w:rsidRPr="00C867D8">
                    <w:rPr>
                      <w:rFonts w:asciiTheme="minorHAnsi" w:hAnsiTheme="minorHAnsi"/>
                    </w:rPr>
                    <w:t>Expanded Polystyrene (EPS) Recycling Rate Report – Copy</w:t>
                  </w:r>
                  <w:r w:rsidRPr="00C867D8">
                    <w:rPr>
                      <w:rFonts w:asciiTheme="minorHAnsi" w:hAnsiTheme="minorHAnsi"/>
                    </w:rPr>
                    <w:tab/>
                    <w:t xml:space="preserve">Page </w:t>
                  </w:r>
                  <w:r>
                    <w:rPr>
                      <w:rFonts w:asciiTheme="minorHAnsi" w:hAnsiTheme="minorHAnsi"/>
                    </w:rPr>
                    <w:t>2</w:t>
                  </w:r>
                </w:p>
                <w:p w:rsidR="00EF7842" w:rsidRPr="00CF1424" w:rsidRDefault="00EF7842" w:rsidP="00CF1424"/>
              </w:txbxContent>
            </v:textbox>
          </v:shape>
        </w:pict>
      </w:r>
      <w:r w:rsidR="009A0B8F">
        <w:rPr>
          <w:rFonts w:asciiTheme="minorHAnsi" w:hAnsiTheme="minorHAnsi"/>
        </w:rPr>
        <w:t>EPS RECYCLING: Stronger Than Ever</w:t>
      </w:r>
    </w:p>
    <w:p w:rsidR="009A0B8F" w:rsidRPr="009A0B8F" w:rsidRDefault="009A0B8F" w:rsidP="009A0B8F"/>
    <w:p w:rsidR="005218C1" w:rsidRDefault="005218C1" w:rsidP="00EB5F85">
      <w:pPr>
        <w:pStyle w:val="BodyText"/>
        <w:spacing w:before="40"/>
        <w:jc w:val="left"/>
        <w:rPr>
          <w:rFonts w:asciiTheme="minorHAnsi" w:hAnsiTheme="minorHAnsi"/>
          <w:kern w:val="28"/>
          <w:sz w:val="20"/>
          <w:szCs w:val="20"/>
        </w:rPr>
      </w:pPr>
      <w:r w:rsidRPr="005218C1">
        <w:rPr>
          <w:rFonts w:asciiTheme="minorHAnsi" w:hAnsiTheme="minorHAnsi"/>
          <w:kern w:val="28"/>
          <w:sz w:val="20"/>
          <w:szCs w:val="20"/>
        </w:rPr>
        <w:t>As shown in Figure 2, the EPS packaging recycling rate</w:t>
      </w:r>
      <w:r>
        <w:rPr>
          <w:rFonts w:asciiTheme="minorHAnsi" w:hAnsiTheme="minorHAnsi"/>
          <w:kern w:val="28"/>
          <w:sz w:val="20"/>
          <w:szCs w:val="20"/>
        </w:rPr>
        <w:t xml:space="preserve"> percentage continues to grow steadily, showing a dependable track record to deliver consistent results. In fact, when comparing ri</w:t>
      </w:r>
      <w:r w:rsidR="00AE3AA2">
        <w:rPr>
          <w:rFonts w:asciiTheme="minorHAnsi" w:hAnsiTheme="minorHAnsi"/>
          <w:kern w:val="28"/>
          <w:sz w:val="20"/>
          <w:szCs w:val="20"/>
        </w:rPr>
        <w:t>gid, durable PS and other grade</w:t>
      </w:r>
      <w:r w:rsidRPr="005218C1">
        <w:rPr>
          <w:rFonts w:asciiTheme="minorHAnsi" w:hAnsiTheme="minorHAnsi"/>
          <w:kern w:val="28"/>
          <w:sz w:val="20"/>
          <w:szCs w:val="20"/>
        </w:rPr>
        <w:t xml:space="preserve"> materials, EPS post-consumer and post-commercial recycling represent 47% of all post-use </w:t>
      </w:r>
      <w:r>
        <w:rPr>
          <w:rFonts w:asciiTheme="minorHAnsi" w:hAnsiTheme="minorHAnsi"/>
          <w:kern w:val="28"/>
          <w:sz w:val="20"/>
          <w:szCs w:val="20"/>
        </w:rPr>
        <w:t xml:space="preserve">polystyrene recycled in the U.S. and is one of the highest </w:t>
      </w:r>
      <w:r w:rsidR="00AE3AA2">
        <w:rPr>
          <w:rFonts w:asciiTheme="minorHAnsi" w:hAnsiTheme="minorHAnsi"/>
          <w:kern w:val="28"/>
          <w:sz w:val="20"/>
          <w:szCs w:val="20"/>
        </w:rPr>
        <w:t>within</w:t>
      </w:r>
      <w:r>
        <w:rPr>
          <w:rFonts w:asciiTheme="minorHAnsi" w:hAnsiTheme="minorHAnsi"/>
          <w:kern w:val="28"/>
          <w:sz w:val="20"/>
          <w:szCs w:val="20"/>
        </w:rPr>
        <w:t xml:space="preserve"> the plastics family.</w:t>
      </w:r>
    </w:p>
    <w:p w:rsidR="00AE3AA2" w:rsidRDefault="00AE3AA2" w:rsidP="005218C1">
      <w:pPr>
        <w:pStyle w:val="BodyText"/>
        <w:spacing w:before="40"/>
        <w:rPr>
          <w:rFonts w:asciiTheme="minorHAnsi" w:hAnsiTheme="minorHAnsi"/>
          <w:kern w:val="28"/>
          <w:sz w:val="20"/>
          <w:szCs w:val="20"/>
        </w:rPr>
      </w:pPr>
    </w:p>
    <w:p w:rsidR="00AE3AA2" w:rsidRPr="0071557B" w:rsidRDefault="00AE3AA2" w:rsidP="005218C1">
      <w:pPr>
        <w:pStyle w:val="BodyText"/>
        <w:spacing w:before="40"/>
        <w:rPr>
          <w:rFonts w:asciiTheme="minorHAnsi" w:hAnsiTheme="minorHAnsi"/>
          <w:b/>
          <w:kern w:val="28"/>
          <w:sz w:val="20"/>
          <w:szCs w:val="20"/>
        </w:rPr>
      </w:pPr>
      <w:r w:rsidRPr="0071557B">
        <w:rPr>
          <w:rFonts w:asciiTheme="minorHAnsi" w:hAnsiTheme="minorHAnsi"/>
          <w:b/>
          <w:kern w:val="28"/>
          <w:sz w:val="20"/>
          <w:szCs w:val="20"/>
        </w:rPr>
        <w:t>Figure 2: Post-Consumer EPS Recycling Rate History (1990-2013)</w:t>
      </w:r>
    </w:p>
    <w:p w:rsidR="00AE3AA2" w:rsidRPr="005218C1" w:rsidRDefault="00AE3AA2" w:rsidP="005218C1">
      <w:pPr>
        <w:pStyle w:val="BodyText"/>
        <w:spacing w:before="40"/>
        <w:rPr>
          <w:rFonts w:asciiTheme="minorHAnsi" w:hAnsiTheme="minorHAnsi"/>
          <w:kern w:val="28"/>
          <w:sz w:val="20"/>
          <w:szCs w:val="20"/>
        </w:rPr>
      </w:pPr>
      <w:r>
        <w:rPr>
          <w:rFonts w:asciiTheme="minorHAnsi" w:hAnsiTheme="minorHAnsi"/>
          <w:noProof/>
          <w:kern w:val="28"/>
          <w:sz w:val="20"/>
          <w:szCs w:val="20"/>
        </w:rPr>
        <w:drawing>
          <wp:inline distT="0" distB="0" distL="0" distR="0">
            <wp:extent cx="5486400" cy="1587500"/>
            <wp:effectExtent l="19050" t="0" r="1905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218C1" w:rsidRDefault="005218C1" w:rsidP="005218C1">
      <w:pPr>
        <w:pStyle w:val="Heading1"/>
        <w:rPr>
          <w:rFonts w:asciiTheme="minorHAnsi" w:hAnsiTheme="minorHAnsi"/>
        </w:rPr>
      </w:pPr>
      <w:r>
        <w:rPr>
          <w:rFonts w:asciiTheme="minorHAnsi" w:hAnsiTheme="minorHAnsi"/>
        </w:rPr>
        <w:t>Report Methodology</w:t>
      </w:r>
    </w:p>
    <w:p w:rsidR="005218C1" w:rsidRPr="005218C1" w:rsidRDefault="005218C1" w:rsidP="00EB5F85"/>
    <w:p w:rsidR="00035F30" w:rsidRPr="00035F30" w:rsidRDefault="00035F30" w:rsidP="00EB5F85">
      <w:pPr>
        <w:pStyle w:val="BodyText"/>
        <w:spacing w:before="0"/>
        <w:jc w:val="left"/>
        <w:rPr>
          <w:rFonts w:asciiTheme="minorHAnsi" w:hAnsiTheme="minorHAnsi"/>
          <w:kern w:val="28"/>
          <w:sz w:val="20"/>
          <w:szCs w:val="20"/>
        </w:rPr>
      </w:pPr>
      <w:r w:rsidRPr="00035F30">
        <w:rPr>
          <w:rFonts w:asciiTheme="minorHAnsi" w:hAnsiTheme="minorHAnsi"/>
          <w:kern w:val="28"/>
          <w:sz w:val="20"/>
          <w:szCs w:val="20"/>
        </w:rPr>
        <w:t xml:space="preserve">The methodology for this annual report focuses on the development of a numerator and denominator figure. Recycled pounds, used as the numerator in the recycling rate equation, are based on an annual survey of post-consumer and post-commercial plastic recyclers (including EPS industry manufacturing facilities ) and reflect </w:t>
      </w:r>
      <w:r>
        <w:rPr>
          <w:rFonts w:asciiTheme="minorHAnsi" w:hAnsiTheme="minorHAnsi"/>
          <w:kern w:val="28"/>
          <w:sz w:val="20"/>
          <w:szCs w:val="20"/>
        </w:rPr>
        <w:t>the</w:t>
      </w:r>
      <w:r w:rsidRPr="00035F30">
        <w:rPr>
          <w:rFonts w:asciiTheme="minorHAnsi" w:hAnsiTheme="minorHAnsi"/>
          <w:kern w:val="28"/>
          <w:sz w:val="20"/>
          <w:szCs w:val="20"/>
        </w:rPr>
        <w:t xml:space="preserve"> quantity of EPS recycled each year. Recycled pounds were counted at the stage where materials enter a reclamation facility (as opposed to </w:t>
      </w:r>
      <w:r>
        <w:rPr>
          <w:rFonts w:asciiTheme="minorHAnsi" w:hAnsiTheme="minorHAnsi"/>
          <w:kern w:val="28"/>
          <w:sz w:val="20"/>
          <w:szCs w:val="20"/>
        </w:rPr>
        <w:t>net material recycled into resin or products) or were shipped for recycling outside the U.S.</w:t>
      </w:r>
    </w:p>
    <w:p w:rsidR="00035F30" w:rsidRPr="00035F30" w:rsidRDefault="00035F30" w:rsidP="00EB5F85">
      <w:pPr>
        <w:pStyle w:val="BodyText"/>
        <w:jc w:val="left"/>
        <w:rPr>
          <w:rFonts w:asciiTheme="minorHAnsi" w:hAnsiTheme="minorHAnsi"/>
          <w:kern w:val="28"/>
          <w:sz w:val="20"/>
          <w:szCs w:val="20"/>
        </w:rPr>
      </w:pPr>
      <w:r w:rsidRPr="00035F30">
        <w:rPr>
          <w:rFonts w:asciiTheme="minorHAnsi" w:hAnsiTheme="minorHAnsi"/>
          <w:kern w:val="28"/>
          <w:sz w:val="20"/>
          <w:szCs w:val="20"/>
        </w:rPr>
        <w:t xml:space="preserve">Due to supply distribution chains and multiple end-use applications for EPS, a fixed number for EPS packaging generated each year is not available. Other manufacturing streams include building and construction applications, sporting goods and other durable products. As a proxy, resin sales data as reported for </w:t>
      </w:r>
      <w:r>
        <w:rPr>
          <w:rFonts w:asciiTheme="minorHAnsi" w:hAnsiTheme="minorHAnsi"/>
          <w:kern w:val="28"/>
          <w:sz w:val="20"/>
          <w:szCs w:val="20"/>
        </w:rPr>
        <w:t xml:space="preserve">custom </w:t>
      </w:r>
      <w:proofErr w:type="spellStart"/>
      <w:r>
        <w:rPr>
          <w:rFonts w:asciiTheme="minorHAnsi" w:hAnsiTheme="minorHAnsi"/>
          <w:kern w:val="28"/>
          <w:sz w:val="20"/>
          <w:szCs w:val="20"/>
        </w:rPr>
        <w:t>moded</w:t>
      </w:r>
      <w:proofErr w:type="spellEnd"/>
      <w:r w:rsidRPr="00035F30">
        <w:rPr>
          <w:rFonts w:asciiTheme="minorHAnsi" w:hAnsiTheme="minorHAnsi"/>
          <w:kern w:val="28"/>
          <w:sz w:val="20"/>
          <w:szCs w:val="20"/>
        </w:rPr>
        <w:t xml:space="preserve"> applications are used as the denominator in the recycling rate equations, which were provided by the American Chemistry Council (ACC) Plastics Industry Producers’ Statistics Group. ACC reports are compiled from primary data reported by resin producers to the professional services firm of </w:t>
      </w:r>
      <w:proofErr w:type="spellStart"/>
      <w:r w:rsidRPr="00035F30">
        <w:rPr>
          <w:rFonts w:asciiTheme="minorHAnsi" w:hAnsiTheme="minorHAnsi"/>
          <w:kern w:val="28"/>
          <w:sz w:val="20"/>
          <w:szCs w:val="20"/>
        </w:rPr>
        <w:t>Veris</w:t>
      </w:r>
      <w:proofErr w:type="spellEnd"/>
      <w:r w:rsidRPr="00035F30">
        <w:rPr>
          <w:rFonts w:asciiTheme="minorHAnsi" w:hAnsiTheme="minorHAnsi"/>
          <w:kern w:val="28"/>
          <w:sz w:val="20"/>
          <w:szCs w:val="20"/>
        </w:rPr>
        <w:t xml:space="preserve"> Consulting, LCC. This does not account for non-U.S. resin sales which may offset the quantities reported by U.S. resin suppliers sold into </w:t>
      </w:r>
      <w:r>
        <w:rPr>
          <w:rFonts w:asciiTheme="minorHAnsi" w:hAnsiTheme="minorHAnsi"/>
          <w:kern w:val="28"/>
          <w:sz w:val="20"/>
          <w:szCs w:val="20"/>
        </w:rPr>
        <w:t>custom</w:t>
      </w:r>
      <w:r w:rsidRPr="00035F30">
        <w:rPr>
          <w:rFonts w:asciiTheme="minorHAnsi" w:hAnsiTheme="minorHAnsi"/>
          <w:kern w:val="28"/>
          <w:sz w:val="20"/>
          <w:szCs w:val="20"/>
        </w:rPr>
        <w:t xml:space="preserve"> molding facilities for non-packaging applications.</w:t>
      </w:r>
    </w:p>
    <w:p w:rsidR="00035F30" w:rsidRPr="00035F30" w:rsidRDefault="00035F30" w:rsidP="00035F30">
      <w:pPr>
        <w:pStyle w:val="Heading1"/>
        <w:rPr>
          <w:rFonts w:asciiTheme="minorHAnsi" w:hAnsiTheme="minorHAnsi"/>
        </w:rPr>
      </w:pPr>
      <w:r w:rsidRPr="00035F30">
        <w:rPr>
          <w:rFonts w:asciiTheme="minorHAnsi" w:hAnsiTheme="minorHAnsi"/>
        </w:rPr>
        <w:t>Recycling Criteria</w:t>
      </w:r>
    </w:p>
    <w:p w:rsidR="00035F30" w:rsidRDefault="00035F30" w:rsidP="00035F30">
      <w:pPr>
        <w:widowControl w:val="0"/>
        <w:jc w:val="both"/>
        <w:rPr>
          <w:rFonts w:ascii="Garamond" w:hAnsi="Garamond"/>
          <w:sz w:val="21"/>
          <w:szCs w:val="21"/>
        </w:rPr>
      </w:pPr>
    </w:p>
    <w:p w:rsidR="00035F30" w:rsidRPr="00035F30" w:rsidRDefault="00035F30" w:rsidP="00035F30">
      <w:pPr>
        <w:rPr>
          <w:rFonts w:asciiTheme="minorHAnsi" w:hAnsiTheme="minorHAnsi"/>
        </w:rPr>
      </w:pPr>
      <w:r w:rsidRPr="00035F30">
        <w:rPr>
          <w:rFonts w:asciiTheme="minorHAnsi" w:hAnsiTheme="minorHAnsi"/>
        </w:rPr>
        <w:t xml:space="preserve">Not all materials are well suited for recycling. Post-consumer EPS packaging must be clean and free of tape, film and cardboard. Expanded polystyrene made with a fire retardant additive, typically used in the manufacture of EPS building insulation, requires special reprocessing conditions. To enhance collection efforts and maximize the investment in recycling equipment, EPS-IA recycling locations concentrate on large volume, commercial sources of post-consumer EPS. Some locations also offer consumer drop-off access. </w:t>
      </w:r>
    </w:p>
    <w:p w:rsidR="00035F30" w:rsidRPr="00035F30" w:rsidRDefault="00035F30" w:rsidP="00035F30">
      <w:pPr>
        <w:rPr>
          <w:rFonts w:asciiTheme="minorHAnsi" w:hAnsiTheme="minorHAnsi"/>
        </w:rPr>
      </w:pPr>
      <w:r w:rsidRPr="00035F30">
        <w:rPr>
          <w:rFonts w:asciiTheme="minorHAnsi" w:hAnsiTheme="minorHAnsi"/>
        </w:rPr>
        <w:t> </w:t>
      </w:r>
    </w:p>
    <w:p w:rsidR="00AE3AA2" w:rsidRPr="0071557B" w:rsidRDefault="00035F30" w:rsidP="0071557B">
      <w:pPr>
        <w:rPr>
          <w:rFonts w:asciiTheme="minorHAnsi" w:hAnsiTheme="minorHAnsi"/>
        </w:rPr>
      </w:pPr>
      <w:r w:rsidRPr="00035F30">
        <w:rPr>
          <w:rFonts w:asciiTheme="minorHAnsi" w:hAnsiTheme="minorHAnsi"/>
        </w:rPr>
        <w:t xml:space="preserve">To find out if EPS recycling is available in your area, visit www.epsinsutry.org. For consumers that do not have access to a local drop-off center, the Alliance of Foam Packaging Recyclers sponsors a National Take-Back Program intended for smaller quantities of EPS which can be mailed via U.S. Postal Service or UPS to more than 30 locations nationwide. Full instructions and a list of Take-Back locations are </w:t>
      </w:r>
      <w:r w:rsidR="0071557B">
        <w:rPr>
          <w:rFonts w:asciiTheme="minorHAnsi" w:hAnsiTheme="minorHAnsi"/>
        </w:rPr>
        <w:t>available on the EPS-IA website</w:t>
      </w:r>
      <w:r w:rsidR="00AE3AA2">
        <w:rPr>
          <w:rFonts w:asciiTheme="minorHAnsi" w:hAnsiTheme="minorHAnsi"/>
        </w:rPr>
        <w:br w:type="page"/>
      </w:r>
    </w:p>
    <w:p w:rsidR="005218C1" w:rsidRDefault="00EF7842" w:rsidP="005218C1">
      <w:pPr>
        <w:pStyle w:val="Heading1"/>
        <w:rPr>
          <w:rFonts w:asciiTheme="minorHAnsi" w:hAnsiTheme="minorHAnsi"/>
        </w:rPr>
      </w:pPr>
      <w:r>
        <w:rPr>
          <w:rFonts w:asciiTheme="minorHAnsi" w:hAnsiTheme="minorHAnsi"/>
          <w:noProof/>
          <w:sz w:val="20"/>
          <w:szCs w:val="20"/>
        </w:rPr>
        <w:lastRenderedPageBreak/>
        <w:pict>
          <v:shape id="_x0000_s1040" type="#_x0000_t202" style="position:absolute;margin-left:10pt;margin-top:-43.5pt;width:449.5pt;height:22.5pt;z-index:251669504" filled="f" stroked="f">
            <v:textbox>
              <w:txbxContent>
                <w:p w:rsidR="00EF7842" w:rsidRPr="00C867D8" w:rsidRDefault="00EF7842" w:rsidP="00EF7842">
                  <w:pPr>
                    <w:tabs>
                      <w:tab w:val="right" w:pos="8460"/>
                    </w:tabs>
                    <w:rPr>
                      <w:rFonts w:asciiTheme="minorHAnsi" w:hAnsiTheme="minorHAnsi"/>
                    </w:rPr>
                  </w:pPr>
                  <w:r w:rsidRPr="00C867D8">
                    <w:rPr>
                      <w:rFonts w:asciiTheme="minorHAnsi" w:hAnsiTheme="minorHAnsi"/>
                    </w:rPr>
                    <w:t>Expanded Polystyrene (EPS) Recycling Rate Report – Copy</w:t>
                  </w:r>
                  <w:r w:rsidRPr="00C867D8">
                    <w:rPr>
                      <w:rFonts w:asciiTheme="minorHAnsi" w:hAnsiTheme="minorHAnsi"/>
                    </w:rPr>
                    <w:tab/>
                    <w:t xml:space="preserve">Page </w:t>
                  </w:r>
                  <w:r>
                    <w:rPr>
                      <w:rFonts w:asciiTheme="minorHAnsi" w:hAnsiTheme="minorHAnsi"/>
                    </w:rPr>
                    <w:t>3</w:t>
                  </w:r>
                </w:p>
                <w:p w:rsidR="00EF7842" w:rsidRPr="00CF1424" w:rsidRDefault="00EF7842" w:rsidP="00EF7842"/>
              </w:txbxContent>
            </v:textbox>
          </v:shape>
        </w:pict>
      </w:r>
      <w:r>
        <w:rPr>
          <w:rFonts w:asciiTheme="minorHAnsi" w:hAnsiTheme="minorHAnsi"/>
          <w:noProof/>
        </w:rPr>
        <w:pict>
          <v:rect id="_x0000_s1039" style="position:absolute;margin-left:3.5pt;margin-top:-47.5pt;width:461.5pt;height:29.5pt;z-index:251668480" fillcolor="#9bbb59 [3206]" strokecolor="#f2f2f2 [3041]" strokeweight="3pt">
            <v:shadow on="t" type="perspective" color="#4e6128 [1606]" opacity=".5" offset="1pt" offset2="-1pt"/>
          </v:rect>
        </w:pict>
      </w:r>
      <w:r w:rsidR="005218C1">
        <w:rPr>
          <w:rFonts w:asciiTheme="minorHAnsi" w:hAnsiTheme="minorHAnsi"/>
        </w:rPr>
        <w:t>EPS Collection &amp; Reuse</w:t>
      </w:r>
    </w:p>
    <w:p w:rsidR="00AE3AA2" w:rsidRPr="00483AFE" w:rsidRDefault="005218C1" w:rsidP="00483AFE">
      <w:pPr>
        <w:pStyle w:val="BodyText"/>
        <w:spacing w:before="60"/>
        <w:jc w:val="left"/>
        <w:rPr>
          <w:rFonts w:asciiTheme="minorHAnsi" w:hAnsiTheme="minorHAnsi"/>
          <w:kern w:val="28"/>
          <w:sz w:val="20"/>
          <w:szCs w:val="20"/>
        </w:rPr>
      </w:pPr>
      <w:r w:rsidRPr="005218C1">
        <w:rPr>
          <w:rFonts w:asciiTheme="minorHAnsi" w:hAnsiTheme="minorHAnsi"/>
          <w:kern w:val="28"/>
          <w:sz w:val="20"/>
          <w:szCs w:val="20"/>
        </w:rPr>
        <w:t xml:space="preserve">Expanded polystyrene (EPS) foam packaging is an excellent material for recycling and reuse with a 15 year history of environmental stewardship. Members of the </w:t>
      </w:r>
      <w:r>
        <w:rPr>
          <w:rFonts w:asciiTheme="minorHAnsi" w:hAnsiTheme="minorHAnsi"/>
          <w:kern w:val="28"/>
          <w:sz w:val="20"/>
          <w:szCs w:val="20"/>
        </w:rPr>
        <w:t>EPS Industry Alliance</w:t>
      </w:r>
      <w:r w:rsidRPr="005218C1">
        <w:rPr>
          <w:rFonts w:asciiTheme="minorHAnsi" w:hAnsiTheme="minorHAnsi"/>
          <w:kern w:val="28"/>
          <w:sz w:val="20"/>
          <w:szCs w:val="20"/>
        </w:rPr>
        <w:t xml:space="preserve"> sponsor these efforts with ongoing financial support and active involvement in the collection and reprocessing of EPS.</w:t>
      </w:r>
      <w:r w:rsidR="00483AFE">
        <w:rPr>
          <w:rFonts w:asciiTheme="minorHAnsi" w:hAnsiTheme="minorHAnsi"/>
          <w:kern w:val="28"/>
          <w:sz w:val="20"/>
          <w:szCs w:val="20"/>
        </w:rPr>
        <w:t xml:space="preserve"> </w:t>
      </w:r>
      <w:r w:rsidR="00AE3AA2" w:rsidRPr="00483AFE">
        <w:rPr>
          <w:rFonts w:asciiTheme="minorHAnsi" w:hAnsiTheme="minorHAnsi"/>
          <w:kern w:val="28"/>
          <w:sz w:val="20"/>
          <w:szCs w:val="20"/>
        </w:rPr>
        <w:t>Recycling gives everybody a sense of well</w:t>
      </w:r>
      <w:r w:rsidR="00EF7842" w:rsidRPr="00483AFE">
        <w:rPr>
          <w:rFonts w:asciiTheme="minorHAnsi" w:hAnsiTheme="minorHAnsi"/>
          <w:kern w:val="28"/>
          <w:sz w:val="20"/>
          <w:szCs w:val="20"/>
        </w:rPr>
        <w:t xml:space="preserve"> being.</w:t>
      </w:r>
      <w:r w:rsidR="00AE3AA2" w:rsidRPr="00483AFE">
        <w:rPr>
          <w:rFonts w:asciiTheme="minorHAnsi" w:hAnsiTheme="minorHAnsi"/>
          <w:kern w:val="28"/>
          <w:sz w:val="20"/>
          <w:szCs w:val="20"/>
        </w:rPr>
        <w:t xml:space="preserve"> </w:t>
      </w:r>
      <w:r w:rsidR="00EF7842" w:rsidRPr="00483AFE">
        <w:rPr>
          <w:rFonts w:asciiTheme="minorHAnsi" w:hAnsiTheme="minorHAnsi"/>
          <w:kern w:val="28"/>
          <w:sz w:val="20"/>
          <w:szCs w:val="20"/>
        </w:rPr>
        <w:t xml:space="preserve"> Working together with communities, local businesses and citizens, this unified approach is achieving increased awareness with bigger and better results – for a material often thought to be non-recyclable! Individually, none of these groups could have realized this exponential growth trend.</w:t>
      </w:r>
    </w:p>
    <w:p w:rsidR="00AE3AA2" w:rsidRPr="00483AFE" w:rsidRDefault="00AE3AA2" w:rsidP="00AE3AA2">
      <w:pPr>
        <w:rPr>
          <w:rFonts w:asciiTheme="minorHAnsi" w:hAnsiTheme="minorHAnsi"/>
        </w:rPr>
      </w:pPr>
    </w:p>
    <w:p w:rsidR="00483AFE" w:rsidRDefault="00AE3AA2" w:rsidP="00AE3AA2">
      <w:pPr>
        <w:rPr>
          <w:rFonts w:ascii="Calibri" w:hAnsi="Calibri"/>
        </w:rPr>
      </w:pPr>
      <w:hyperlink r:id="rId14" w:history="1">
        <w:r w:rsidRPr="00483AFE">
          <w:rPr>
            <w:rFonts w:ascii="Calibri" w:hAnsi="Calibri"/>
          </w:rPr>
          <w:t>NOVA Chemicals</w:t>
        </w:r>
      </w:hyperlink>
      <w:r w:rsidRPr="00483AFE">
        <w:rPr>
          <w:rFonts w:ascii="Calibri" w:hAnsi="Calibri"/>
        </w:rPr>
        <w:t xml:space="preserve"> in Monaca, Pennsylvania introduced a program for its employees to recycle their EPS foam. The initiative was so successful it spurred NOVA to take their recycling efforts further by partnering with the </w:t>
      </w:r>
      <w:hyperlink r:id="rId15" w:history="1">
        <w:r w:rsidRPr="00483AFE">
          <w:rPr>
            <w:rFonts w:ascii="Calibri" w:hAnsi="Calibri"/>
          </w:rPr>
          <w:t>Pennsylvania Resources Council</w:t>
        </w:r>
      </w:hyperlink>
      <w:r w:rsidRPr="00483AFE">
        <w:rPr>
          <w:rFonts w:ascii="Calibri" w:hAnsi="Calibri"/>
        </w:rPr>
        <w:t xml:space="preserve"> (PRC) to collect EPS for recycling free of charge at PRC events that enabled hundreds of individuals to drop off over 1,300 cubic yards  of unwanted EPS foam for recycling.</w:t>
      </w:r>
    </w:p>
    <w:p w:rsidR="00AE3AA2" w:rsidRPr="00483AFE" w:rsidRDefault="00AE3AA2" w:rsidP="00AE3AA2">
      <w:pPr>
        <w:rPr>
          <w:rFonts w:ascii="Calibri" w:hAnsi="Calibri"/>
        </w:rPr>
      </w:pPr>
      <w:r w:rsidRPr="00483AFE">
        <w:rPr>
          <w:rFonts w:ascii="Calibri" w:hAnsi="Calibri"/>
        </w:rPr>
        <w:t xml:space="preserve"> </w:t>
      </w:r>
    </w:p>
    <w:p w:rsidR="00AE3AA2" w:rsidRPr="00483AFE" w:rsidRDefault="00483AFE" w:rsidP="00AE3AA2">
      <w:pPr>
        <w:rPr>
          <w:rFonts w:ascii="Calibri" w:hAnsi="Calibri"/>
        </w:rPr>
      </w:pPr>
      <w:r>
        <w:rPr>
          <w:rFonts w:ascii="Calibri" w:hAnsi="Calibri"/>
          <w:noProof/>
        </w:rPr>
        <w:drawing>
          <wp:inline distT="0" distB="0" distL="0" distR="0">
            <wp:extent cx="2622550" cy="1966913"/>
            <wp:effectExtent l="19050" t="0" r="6350" b="0"/>
            <wp:docPr id="4" name="Picture 3" descr="2014-05-10 Washington PA Hard To Recycle PAUL ARCH PHOTO 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5-10 Washington PA Hard To Recycle PAUL ARCH PHOTO 050.JPG"/>
                    <pic:cNvPicPr/>
                  </pic:nvPicPr>
                  <pic:blipFill>
                    <a:blip r:embed="rId16" cstate="print"/>
                    <a:stretch>
                      <a:fillRect/>
                    </a:stretch>
                  </pic:blipFill>
                  <pic:spPr>
                    <a:xfrm>
                      <a:off x="0" y="0"/>
                      <a:ext cx="2622550" cy="1966913"/>
                    </a:xfrm>
                    <a:prstGeom prst="rect">
                      <a:avLst/>
                    </a:prstGeom>
                  </pic:spPr>
                </pic:pic>
              </a:graphicData>
            </a:graphic>
          </wp:inline>
        </w:drawing>
      </w:r>
      <w:r>
        <w:rPr>
          <w:rFonts w:ascii="Calibri" w:hAnsi="Calibri"/>
          <w:noProof/>
        </w:rPr>
        <w:drawing>
          <wp:inline distT="0" distB="0" distL="0" distR="0">
            <wp:extent cx="2244944" cy="1961690"/>
            <wp:effectExtent l="19050" t="0" r="2956" b="0"/>
            <wp:docPr id="5" name="Picture 4" descr="2014-05-10 Washington PA Hard To Recycle PAUL ARCH PHOTO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5-10 Washington PA Hard To Recycle PAUL ARCH PHOTO 009.JPG"/>
                    <pic:cNvPicPr/>
                  </pic:nvPicPr>
                  <pic:blipFill>
                    <a:blip r:embed="rId17" cstate="print"/>
                    <a:srcRect t="7265" r="20406"/>
                    <a:stretch>
                      <a:fillRect/>
                    </a:stretch>
                  </pic:blipFill>
                  <pic:spPr>
                    <a:xfrm>
                      <a:off x="0" y="0"/>
                      <a:ext cx="2244944" cy="1961690"/>
                    </a:xfrm>
                    <a:prstGeom prst="rect">
                      <a:avLst/>
                    </a:prstGeom>
                  </pic:spPr>
                </pic:pic>
              </a:graphicData>
            </a:graphic>
          </wp:inline>
        </w:drawing>
      </w:r>
    </w:p>
    <w:p w:rsidR="00483AFE" w:rsidRDefault="00483AFE" w:rsidP="00AE3AA2">
      <w:pPr>
        <w:rPr>
          <w:rFonts w:ascii="Calibri" w:hAnsi="Calibri"/>
        </w:rPr>
      </w:pPr>
    </w:p>
    <w:p w:rsidR="00483AFE" w:rsidRDefault="00AE3AA2" w:rsidP="00AE3AA2">
      <w:pPr>
        <w:rPr>
          <w:rFonts w:ascii="Calibri" w:hAnsi="Calibri"/>
        </w:rPr>
      </w:pPr>
      <w:r w:rsidRPr="00483AFE">
        <w:rPr>
          <w:rFonts w:ascii="Calibri" w:hAnsi="Calibri"/>
        </w:rPr>
        <w:t>While EPS is usually recycl</w:t>
      </w:r>
      <w:r w:rsidR="00483AFE">
        <w:rPr>
          <w:rFonts w:ascii="Calibri" w:hAnsi="Calibri"/>
        </w:rPr>
        <w:t>ed</w:t>
      </w:r>
      <w:r w:rsidRPr="00483AFE">
        <w:rPr>
          <w:rFonts w:ascii="Calibri" w:hAnsi="Calibri"/>
        </w:rPr>
        <w:t xml:space="preserve"> into products such as coat hangers, insulation, decorative moldings and picture frames, new market developments continue to evolve. Nine Lives Products launched a new recycled glue product, Glu6, which is made from a blend of recycled polystyrene waste collected in the San Francisco Bay area and plant-based ingredients. This type of new and inventive market development is a key aspect of sustainable EPS recycling initiatives</w:t>
      </w:r>
      <w:r w:rsidR="00483AFE">
        <w:rPr>
          <w:rFonts w:ascii="Calibri" w:hAnsi="Calibri"/>
        </w:rPr>
        <w:t>.</w:t>
      </w:r>
    </w:p>
    <w:p w:rsidR="00483AFE" w:rsidRDefault="00483AFE" w:rsidP="00AE3AA2">
      <w:pPr>
        <w:rPr>
          <w:rFonts w:ascii="Calibri" w:hAnsi="Calibri"/>
        </w:rPr>
      </w:pPr>
    </w:p>
    <w:p w:rsidR="00483AFE" w:rsidRDefault="00483AFE" w:rsidP="00AE3AA2">
      <w:pPr>
        <w:rPr>
          <w:rFonts w:ascii="Calibri" w:hAnsi="Calibri"/>
        </w:rPr>
      </w:pPr>
      <w:r>
        <w:rPr>
          <w:noProof/>
        </w:rPr>
        <w:drawing>
          <wp:inline distT="0" distB="0" distL="0" distR="0">
            <wp:extent cx="1233239" cy="1454150"/>
            <wp:effectExtent l="19050" t="0" r="5011" b="0"/>
            <wp:docPr id="9" name="Picture 9" descr="http://www.ways2gogreenblog.com/wp-content/uploads/2013/12/Glu6_glue_pa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ways2gogreenblog.com/wp-content/uploads/2013/12/Glu6_glue_paste.jpg"/>
                    <pic:cNvPicPr>
                      <a:picLocks noChangeAspect="1" noChangeArrowheads="1"/>
                    </pic:cNvPicPr>
                  </pic:nvPicPr>
                  <pic:blipFill>
                    <a:blip r:embed="rId18" cstate="print"/>
                    <a:srcRect/>
                    <a:stretch>
                      <a:fillRect/>
                    </a:stretch>
                  </pic:blipFill>
                  <pic:spPr bwMode="auto">
                    <a:xfrm>
                      <a:off x="0" y="0"/>
                      <a:ext cx="1233239" cy="1454150"/>
                    </a:xfrm>
                    <a:prstGeom prst="rect">
                      <a:avLst/>
                    </a:prstGeom>
                    <a:noFill/>
                    <a:ln w="9525">
                      <a:noFill/>
                      <a:miter lim="800000"/>
                      <a:headEnd/>
                      <a:tailEnd/>
                    </a:ln>
                  </pic:spPr>
                </pic:pic>
              </a:graphicData>
            </a:graphic>
          </wp:inline>
        </w:drawing>
      </w:r>
    </w:p>
    <w:p w:rsidR="00483AFE" w:rsidRDefault="00483AFE" w:rsidP="00AE3AA2">
      <w:pPr>
        <w:rPr>
          <w:rFonts w:ascii="Calibri" w:hAnsi="Calibri"/>
        </w:rPr>
      </w:pPr>
    </w:p>
    <w:p w:rsidR="00483AFE" w:rsidRDefault="00483AFE" w:rsidP="00AE3AA2">
      <w:pPr>
        <w:rPr>
          <w:rFonts w:ascii="Calibri" w:hAnsi="Calibri"/>
        </w:rPr>
      </w:pPr>
      <w:r>
        <w:rPr>
          <w:rFonts w:ascii="Calibri" w:hAnsi="Calibri"/>
        </w:rPr>
        <w:t xml:space="preserve">For a fun and unique solution to EPS recycling, Waste-To-Waves collects material to make new surfboard blanks. With 18 collection sites in California, special events and corporate partnerships with Patagonia, Rip Curl and others, this initiative delivers a closed loop recycling solution and is spreading the word on surfing sustainability.  </w:t>
      </w:r>
    </w:p>
    <w:p w:rsidR="00483AFE" w:rsidRPr="00483AFE" w:rsidRDefault="00483AFE" w:rsidP="00AE3AA2">
      <w:pPr>
        <w:rPr>
          <w:rFonts w:ascii="Calibri" w:hAnsi="Calibri"/>
        </w:rPr>
      </w:pPr>
    </w:p>
    <w:p w:rsidR="00AE3AA2" w:rsidRPr="00483496" w:rsidRDefault="00483AFE" w:rsidP="00AE3AA2">
      <w:pPr>
        <w:rPr>
          <w:b/>
        </w:rPr>
      </w:pPr>
      <w:r>
        <w:rPr>
          <w:noProof/>
        </w:rPr>
        <w:lastRenderedPageBreak/>
        <w:drawing>
          <wp:inline distT="0" distB="0" distL="0" distR="0">
            <wp:extent cx="2197100" cy="1673981"/>
            <wp:effectExtent l="19050" t="0" r="0" b="0"/>
            <wp:docPr id="1" name="Picture 3" descr="SMES_Foam_Collection-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ES_Foam_Collection-19"/>
                    <pic:cNvPicPr>
                      <a:picLocks noChangeAspect="1" noChangeArrowheads="1"/>
                    </pic:cNvPicPr>
                  </pic:nvPicPr>
                  <pic:blipFill>
                    <a:blip r:embed="rId19" cstate="print"/>
                    <a:srcRect/>
                    <a:stretch>
                      <a:fillRect/>
                    </a:stretch>
                  </pic:blipFill>
                  <pic:spPr bwMode="auto">
                    <a:xfrm>
                      <a:off x="0" y="0"/>
                      <a:ext cx="2199095" cy="1675501"/>
                    </a:xfrm>
                    <a:prstGeom prst="rect">
                      <a:avLst/>
                    </a:prstGeom>
                    <a:noFill/>
                    <a:ln w="9525">
                      <a:noFill/>
                      <a:miter lim="800000"/>
                      <a:headEnd/>
                      <a:tailEnd/>
                    </a:ln>
                  </pic:spPr>
                </pic:pic>
              </a:graphicData>
            </a:graphic>
          </wp:inline>
        </w:drawing>
      </w:r>
      <w:r>
        <w:rPr>
          <w:noProof/>
        </w:rPr>
        <w:drawing>
          <wp:inline distT="0" distB="0" distL="0" distR="0">
            <wp:extent cx="2806700" cy="1678517"/>
            <wp:effectExtent l="19050" t="0" r="0" b="0"/>
            <wp:docPr id="6" name="Picture 6" descr="http://wastetowaves.org/wp-content/uploads/2011/11/markoblan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astetowaves.org/wp-content/uploads/2011/11/markoblanks.jpg"/>
                    <pic:cNvPicPr>
                      <a:picLocks noChangeAspect="1" noChangeArrowheads="1"/>
                    </pic:cNvPicPr>
                  </pic:nvPicPr>
                  <pic:blipFill>
                    <a:blip r:embed="rId20" cstate="print"/>
                    <a:srcRect/>
                    <a:stretch>
                      <a:fillRect/>
                    </a:stretch>
                  </pic:blipFill>
                  <pic:spPr bwMode="auto">
                    <a:xfrm>
                      <a:off x="0" y="0"/>
                      <a:ext cx="2806700" cy="1678517"/>
                    </a:xfrm>
                    <a:prstGeom prst="rect">
                      <a:avLst/>
                    </a:prstGeom>
                    <a:noFill/>
                    <a:ln w="9525">
                      <a:noFill/>
                      <a:miter lim="800000"/>
                      <a:headEnd/>
                      <a:tailEnd/>
                    </a:ln>
                  </pic:spPr>
                </pic:pic>
              </a:graphicData>
            </a:graphic>
          </wp:inline>
        </w:drawing>
      </w:r>
    </w:p>
    <w:p w:rsidR="00483AFE" w:rsidRDefault="00483AFE" w:rsidP="00AE3AA2">
      <w:pPr>
        <w:shd w:val="clear" w:color="auto" w:fill="FFFFFF"/>
        <w:rPr>
          <w:rFonts w:ascii="Calibri" w:hAnsi="Calibri"/>
          <w:b/>
        </w:rPr>
      </w:pPr>
    </w:p>
    <w:p w:rsidR="00483AFE" w:rsidRDefault="00483AFE" w:rsidP="00AE3AA2">
      <w:pPr>
        <w:shd w:val="clear" w:color="auto" w:fill="FFFFFF"/>
        <w:rPr>
          <w:rFonts w:ascii="Calibri" w:hAnsi="Calibri"/>
          <w:b/>
        </w:rPr>
      </w:pPr>
      <w:r>
        <w:rPr>
          <w:rFonts w:ascii="Calibri" w:hAnsi="Calibri"/>
          <w:b/>
        </w:rPr>
        <w:t>Other EPS Recycling Successes:</w:t>
      </w:r>
    </w:p>
    <w:p w:rsidR="00483AFE" w:rsidRDefault="00483AFE" w:rsidP="00AE3AA2">
      <w:pPr>
        <w:shd w:val="clear" w:color="auto" w:fill="FFFFFF"/>
        <w:rPr>
          <w:rFonts w:ascii="Calibri" w:hAnsi="Calibri"/>
          <w:b/>
        </w:rPr>
      </w:pPr>
      <w:r>
        <w:rPr>
          <w:rFonts w:ascii="Calibri" w:hAnsi="Calibri"/>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43" type="#_x0000_t88" style="position:absolute;margin-left:185.9pt;margin-top:4.45pt;width:7.15pt;height:75.45pt;z-index:251673600"/>
        </w:pict>
      </w:r>
    </w:p>
    <w:p w:rsidR="00483AFE" w:rsidRPr="00483AFE" w:rsidRDefault="00483AFE" w:rsidP="00AE3AA2">
      <w:pPr>
        <w:shd w:val="clear" w:color="auto" w:fill="FFFFFF"/>
        <w:rPr>
          <w:rFonts w:ascii="Calibri" w:hAnsi="Calibri"/>
        </w:rPr>
      </w:pPr>
      <w:r>
        <w:rPr>
          <w:rFonts w:ascii="Calibri" w:hAnsi="Calibri"/>
          <w:noProof/>
        </w:rPr>
        <w:pict>
          <v:shape id="_x0000_s1044" type="#_x0000_t202" style="position:absolute;margin-left:201pt;margin-top:6.7pt;width:186.35pt;height:39.25pt;z-index:251674624;mso-width-percent:400;mso-width-percent:400;mso-width-relative:margin;mso-height-relative:margin">
            <v:textbox>
              <w:txbxContent>
                <w:p w:rsidR="00483AFE" w:rsidRPr="00483AFE" w:rsidRDefault="00483AFE" w:rsidP="00483AFE">
                  <w:pPr>
                    <w:rPr>
                      <w:i/>
                      <w:color w:val="404040" w:themeColor="text1" w:themeTint="BF"/>
                    </w:rPr>
                  </w:pPr>
                  <w:r w:rsidRPr="00483AFE">
                    <w:rPr>
                      <w:i/>
                      <w:color w:val="404040" w:themeColor="text1" w:themeTint="BF"/>
                    </w:rPr>
                    <w:t>This information should be highlighted in a sidebar or some other fashion,</w:t>
                  </w:r>
                </w:p>
              </w:txbxContent>
            </v:textbox>
          </v:shape>
        </w:pict>
      </w:r>
      <w:proofErr w:type="spellStart"/>
      <w:r w:rsidRPr="00483AFE">
        <w:rPr>
          <w:rFonts w:ascii="Calibri" w:hAnsi="Calibri"/>
        </w:rPr>
        <w:t>Nutrisystem</w:t>
      </w:r>
      <w:proofErr w:type="spellEnd"/>
    </w:p>
    <w:p w:rsidR="00483AFE" w:rsidRPr="00483AFE" w:rsidRDefault="00483AFE" w:rsidP="00AE3AA2">
      <w:pPr>
        <w:shd w:val="clear" w:color="auto" w:fill="FFFFFF"/>
        <w:rPr>
          <w:rFonts w:ascii="Calibri" w:hAnsi="Calibri"/>
        </w:rPr>
      </w:pPr>
      <w:r w:rsidRPr="00483AFE">
        <w:rPr>
          <w:rFonts w:ascii="Calibri" w:hAnsi="Calibri"/>
        </w:rPr>
        <w:t>Omaha Steaks</w:t>
      </w:r>
    </w:p>
    <w:p w:rsidR="00483AFE" w:rsidRPr="00483AFE" w:rsidRDefault="00483AFE" w:rsidP="00AE3AA2">
      <w:pPr>
        <w:shd w:val="clear" w:color="auto" w:fill="FFFFFF"/>
        <w:rPr>
          <w:rFonts w:ascii="Calibri" w:hAnsi="Calibri"/>
        </w:rPr>
      </w:pPr>
      <w:proofErr w:type="spellStart"/>
      <w:r w:rsidRPr="00483AFE">
        <w:rPr>
          <w:rFonts w:ascii="Calibri" w:hAnsi="Calibri"/>
        </w:rPr>
        <w:t>Walmart</w:t>
      </w:r>
      <w:proofErr w:type="spellEnd"/>
    </w:p>
    <w:p w:rsidR="00483AFE" w:rsidRPr="00483AFE" w:rsidRDefault="00483AFE" w:rsidP="00AE3AA2">
      <w:pPr>
        <w:shd w:val="clear" w:color="auto" w:fill="FFFFFF"/>
        <w:rPr>
          <w:rFonts w:ascii="Calibri" w:hAnsi="Calibri"/>
        </w:rPr>
      </w:pPr>
      <w:r w:rsidRPr="00483AFE">
        <w:rPr>
          <w:rFonts w:ascii="Calibri" w:hAnsi="Calibri"/>
        </w:rPr>
        <w:t>City of Baltimore</w:t>
      </w:r>
    </w:p>
    <w:p w:rsidR="00483AFE" w:rsidRPr="00483AFE" w:rsidRDefault="00483AFE" w:rsidP="00AE3AA2">
      <w:pPr>
        <w:shd w:val="clear" w:color="auto" w:fill="FFFFFF"/>
        <w:rPr>
          <w:rFonts w:ascii="Calibri" w:hAnsi="Calibri"/>
        </w:rPr>
      </w:pPr>
      <w:r w:rsidRPr="00483AFE">
        <w:rPr>
          <w:rFonts w:ascii="Calibri" w:hAnsi="Calibri"/>
        </w:rPr>
        <w:t>Whirlpool Corporation</w:t>
      </w:r>
    </w:p>
    <w:p w:rsidR="00483AFE" w:rsidRPr="00483AFE" w:rsidRDefault="00483AFE" w:rsidP="00AE3AA2">
      <w:pPr>
        <w:shd w:val="clear" w:color="auto" w:fill="FFFFFF"/>
        <w:rPr>
          <w:rFonts w:ascii="Calibri" w:hAnsi="Calibri"/>
        </w:rPr>
      </w:pPr>
      <w:r w:rsidRPr="00483AFE">
        <w:rPr>
          <w:rFonts w:ascii="Calibri" w:hAnsi="Calibri"/>
        </w:rPr>
        <w:t>City of Houston</w:t>
      </w:r>
    </w:p>
    <w:p w:rsidR="00483AFE" w:rsidRDefault="00483AFE" w:rsidP="00AE3AA2">
      <w:pPr>
        <w:shd w:val="clear" w:color="auto" w:fill="FFFFFF"/>
        <w:rPr>
          <w:rFonts w:ascii="Calibri" w:hAnsi="Calibri"/>
          <w:b/>
        </w:rPr>
      </w:pPr>
    </w:p>
    <w:p w:rsidR="00AE3AA2" w:rsidRPr="006A257D" w:rsidRDefault="00E313C7" w:rsidP="00AE3AA2">
      <w:pPr>
        <w:shd w:val="clear" w:color="auto" w:fill="FFFFFF"/>
      </w:pPr>
      <w:r>
        <w:rPr>
          <w:noProof/>
        </w:rPr>
        <w:pict>
          <v:shape id="_x0000_s1047" type="#_x0000_t88" style="position:absolute;margin-left:185.9pt;margin-top:2.35pt;width:3.65pt;height:30.95pt;z-index:251677696"/>
        </w:pict>
      </w:r>
      <w:r w:rsidR="00483AFE">
        <w:rPr>
          <w:noProof/>
          <w:lang w:eastAsia="zh-TW"/>
        </w:rPr>
        <w:pict>
          <v:shape id="_x0000_s1042" type="#_x0000_t202" style="position:absolute;margin-left:201.4pt;margin-top:1.95pt;width:186.35pt;height:30.95pt;z-index:251672576;mso-width-percent:400;mso-height-percent:200;mso-width-percent:400;mso-height-percent:200;mso-width-relative:margin;mso-height-relative:margin">
            <v:textbox style="mso-fit-shape-to-text:t">
              <w:txbxContent>
                <w:p w:rsidR="00483AFE" w:rsidRPr="00483AFE" w:rsidRDefault="00483AFE">
                  <w:pPr>
                    <w:rPr>
                      <w:i/>
                      <w:color w:val="404040" w:themeColor="text1" w:themeTint="BF"/>
                    </w:rPr>
                  </w:pPr>
                  <w:r w:rsidRPr="00483AFE">
                    <w:rPr>
                      <w:i/>
                      <w:color w:val="404040" w:themeColor="text1" w:themeTint="BF"/>
                    </w:rPr>
                    <w:t xml:space="preserve">This information should be highlighted in </w:t>
                  </w:r>
                  <w:r w:rsidR="00E313C7">
                    <w:rPr>
                      <w:i/>
                      <w:color w:val="404040" w:themeColor="text1" w:themeTint="BF"/>
                    </w:rPr>
                    <w:t>s</w:t>
                  </w:r>
                  <w:r w:rsidRPr="00483AFE">
                    <w:rPr>
                      <w:i/>
                      <w:color w:val="404040" w:themeColor="text1" w:themeTint="BF"/>
                    </w:rPr>
                    <w:t>ome fashion,</w:t>
                  </w:r>
                </w:p>
              </w:txbxContent>
            </v:textbox>
          </v:shape>
        </w:pict>
      </w:r>
    </w:p>
    <w:p w:rsidR="00AE3AA2" w:rsidRPr="00483AFE" w:rsidRDefault="00AE3AA2" w:rsidP="00483AFE">
      <w:pPr>
        <w:shd w:val="clear" w:color="auto" w:fill="FFFFFF"/>
        <w:rPr>
          <w:rFonts w:ascii="Calibri" w:hAnsi="Calibri"/>
        </w:rPr>
      </w:pPr>
      <w:hyperlink r:id="rId21" w:history="1">
        <w:proofErr w:type="gramStart"/>
        <w:r w:rsidRPr="00483AFE">
          <w:rPr>
            <w:rStyle w:val="Hyperlink"/>
            <w:rFonts w:ascii="Calibri" w:hAnsi="Calibri"/>
            <w:color w:val="auto"/>
          </w:rPr>
          <w:t>facebook.com/</w:t>
        </w:r>
        <w:proofErr w:type="spellStart"/>
        <w:r w:rsidRPr="00483AFE">
          <w:rPr>
            <w:rStyle w:val="Hyperlink"/>
            <w:rFonts w:ascii="Calibri" w:hAnsi="Calibri"/>
            <w:color w:val="auto"/>
          </w:rPr>
          <w:t>EPSRecycling</w:t>
        </w:r>
        <w:proofErr w:type="spellEnd"/>
        <w:proofErr w:type="gramEnd"/>
      </w:hyperlink>
    </w:p>
    <w:p w:rsidR="00AE3AA2" w:rsidRPr="006A257D" w:rsidRDefault="00AE3AA2" w:rsidP="00AE3AA2"/>
    <w:p w:rsidR="005218C1" w:rsidRDefault="00E313C7" w:rsidP="005218C1">
      <w:pPr>
        <w:pStyle w:val="BodyText"/>
        <w:spacing w:before="60"/>
        <w:rPr>
          <w:sz w:val="22"/>
          <w:szCs w:val="22"/>
        </w:rPr>
      </w:pPr>
      <w:r>
        <w:rPr>
          <w:noProof/>
        </w:rPr>
        <w:pict>
          <v:shape id="_x0000_s1046" type="#_x0000_t202" style="position:absolute;left:0;text-align:left;margin-left:-2pt;margin-top:14.15pt;width:449.5pt;height:22.5pt;z-index:251676672" filled="f" stroked="f">
            <v:textbox>
              <w:txbxContent>
                <w:p w:rsidR="00E313C7" w:rsidRPr="00C867D8" w:rsidRDefault="00E313C7" w:rsidP="00E313C7">
                  <w:pPr>
                    <w:tabs>
                      <w:tab w:val="right" w:pos="8460"/>
                    </w:tabs>
                    <w:rPr>
                      <w:rFonts w:asciiTheme="minorHAnsi" w:hAnsiTheme="minorHAnsi"/>
                    </w:rPr>
                  </w:pPr>
                  <w:r w:rsidRPr="00C867D8">
                    <w:rPr>
                      <w:rFonts w:asciiTheme="minorHAnsi" w:hAnsiTheme="minorHAnsi"/>
                    </w:rPr>
                    <w:t>Expanded Polystyrene (EPS) Recycling Rate Report – Copy</w:t>
                  </w:r>
                  <w:r w:rsidRPr="00C867D8">
                    <w:rPr>
                      <w:rFonts w:asciiTheme="minorHAnsi" w:hAnsiTheme="minorHAnsi"/>
                    </w:rPr>
                    <w:tab/>
                    <w:t xml:space="preserve">Page </w:t>
                  </w:r>
                  <w:r>
                    <w:rPr>
                      <w:rFonts w:asciiTheme="minorHAnsi" w:hAnsiTheme="minorHAnsi"/>
                    </w:rPr>
                    <w:t>4</w:t>
                  </w:r>
                </w:p>
                <w:p w:rsidR="00E313C7" w:rsidRPr="00CF1424" w:rsidRDefault="00E313C7" w:rsidP="00E313C7"/>
              </w:txbxContent>
            </v:textbox>
          </v:shape>
        </w:pict>
      </w:r>
      <w:r>
        <w:rPr>
          <w:noProof/>
        </w:rPr>
        <w:pict>
          <v:rect id="_x0000_s1045" style="position:absolute;left:0;text-align:left;margin-left:-9pt;margin-top:10.65pt;width:461.5pt;height:29.5pt;z-index:251675648" fillcolor="#9bbb59 [3206]" strokecolor="#f2f2f2 [3041]" strokeweight="3pt">
            <v:shadow on="t" type="perspective" color="#4e6128 [1606]" opacity=".5" offset="1pt" offset2="-1pt"/>
          </v:rect>
        </w:pict>
      </w:r>
    </w:p>
    <w:p w:rsidR="00483AFE" w:rsidRDefault="00483AFE" w:rsidP="005218C1">
      <w:pPr>
        <w:pStyle w:val="BodyText"/>
        <w:spacing w:before="60"/>
        <w:rPr>
          <w:sz w:val="22"/>
          <w:szCs w:val="22"/>
        </w:rPr>
      </w:pPr>
    </w:p>
    <w:p w:rsidR="005218C1" w:rsidRDefault="005218C1" w:rsidP="005218C1">
      <w:pPr>
        <w:widowControl w:val="0"/>
      </w:pPr>
      <w:r>
        <w:t> </w:t>
      </w:r>
    </w:p>
    <w:p w:rsidR="005218C1" w:rsidRPr="00035F30" w:rsidRDefault="005218C1" w:rsidP="00035F30">
      <w:pPr>
        <w:rPr>
          <w:rFonts w:asciiTheme="minorHAnsi" w:hAnsiTheme="minorHAnsi"/>
        </w:rPr>
      </w:pPr>
    </w:p>
    <w:p w:rsidR="00E313C7" w:rsidRDefault="00E313C7" w:rsidP="00E313C7">
      <w:pPr>
        <w:rPr>
          <w:rFonts w:asciiTheme="minorHAnsi" w:eastAsiaTheme="majorEastAsia" w:hAnsiTheme="minorHAnsi" w:cstheme="majorBidi"/>
          <w:b/>
          <w:bCs/>
          <w:color w:val="365F91" w:themeColor="accent1" w:themeShade="BF"/>
          <w:sz w:val="28"/>
          <w:szCs w:val="28"/>
        </w:rPr>
      </w:pPr>
      <w:r>
        <w:rPr>
          <w:rFonts w:asciiTheme="minorHAnsi" w:eastAsiaTheme="majorEastAsia" w:hAnsiTheme="minorHAnsi" w:cstheme="majorBidi"/>
          <w:b/>
          <w:bCs/>
          <w:color w:val="365F91" w:themeColor="accent1" w:themeShade="BF"/>
          <w:sz w:val="28"/>
          <w:szCs w:val="28"/>
        </w:rPr>
        <w:t>The Plastic Loose Fill Reuse Program</w:t>
      </w:r>
    </w:p>
    <w:p w:rsidR="00E313C7" w:rsidRDefault="00E313C7" w:rsidP="00E313C7">
      <w:pPr>
        <w:shd w:val="clear" w:color="auto" w:fill="FFFFFF"/>
        <w:rPr>
          <w:rFonts w:ascii="Calibri" w:hAnsi="Calibri"/>
        </w:rPr>
      </w:pPr>
    </w:p>
    <w:p w:rsidR="00E313C7" w:rsidRDefault="00E313C7" w:rsidP="00E313C7">
      <w:pPr>
        <w:shd w:val="clear" w:color="auto" w:fill="FFFFFF"/>
        <w:rPr>
          <w:rFonts w:ascii="Calibri" w:hAnsi="Calibri"/>
        </w:rPr>
      </w:pPr>
      <w:r>
        <w:rPr>
          <w:rFonts w:ascii="Calibri" w:hAnsi="Calibri"/>
        </w:rPr>
        <w:t xml:space="preserve">The Plastic Loose Fill Reuse Program features a Google map that automatically directs consumers to local packaging businesses, primarily pack and ship stores conveniently located in neighborhood shopping centers, which reuse the loose fill packaging in new outbound shipments. </w:t>
      </w:r>
    </w:p>
    <w:p w:rsidR="00E313C7" w:rsidRDefault="00E313C7" w:rsidP="00E313C7">
      <w:pPr>
        <w:shd w:val="clear" w:color="auto" w:fill="FFFFFF"/>
        <w:rPr>
          <w:rFonts w:ascii="Calibri" w:hAnsi="Calibri"/>
        </w:rPr>
      </w:pPr>
    </w:p>
    <w:p w:rsidR="00E313C7" w:rsidRDefault="00E313C7" w:rsidP="00E313C7">
      <w:pPr>
        <w:shd w:val="clear" w:color="auto" w:fill="FFFFFF"/>
        <w:rPr>
          <w:rFonts w:ascii="Calibri" w:hAnsi="Calibri"/>
        </w:rPr>
      </w:pPr>
      <w:r>
        <w:rPr>
          <w:rFonts w:ascii="Calibri" w:hAnsi="Calibri"/>
        </w:rPr>
        <w:t xml:space="preserve">Established in 1991, the program has thousands of locations throughout the country and is listed in community recycling directories, on websites for national retailers and has been featured in publications ranging from </w:t>
      </w:r>
      <w:r>
        <w:rPr>
          <w:rFonts w:ascii="Calibri" w:hAnsi="Calibri"/>
          <w:i/>
        </w:rPr>
        <w:t>The New York Times</w:t>
      </w:r>
      <w:r>
        <w:rPr>
          <w:rFonts w:ascii="Calibri" w:hAnsi="Calibri"/>
        </w:rPr>
        <w:t xml:space="preserve"> to </w:t>
      </w:r>
      <w:r>
        <w:rPr>
          <w:rFonts w:ascii="Calibri" w:hAnsi="Calibri"/>
          <w:i/>
        </w:rPr>
        <w:t>Modern Bride</w:t>
      </w:r>
      <w:r>
        <w:rPr>
          <w:rFonts w:ascii="Calibri" w:hAnsi="Calibri"/>
        </w:rPr>
        <w:t xml:space="preserve"> and </w:t>
      </w:r>
      <w:r w:rsidR="00C0595B">
        <w:rPr>
          <w:rFonts w:ascii="Calibri" w:hAnsi="Calibri"/>
          <w:i/>
        </w:rPr>
        <w:t>Recycling Today</w:t>
      </w:r>
      <w:r w:rsidR="00C0595B">
        <w:rPr>
          <w:rFonts w:ascii="Calibri" w:hAnsi="Calibri"/>
        </w:rPr>
        <w:t>. More details can be found at epspackging.org.</w:t>
      </w:r>
    </w:p>
    <w:p w:rsidR="00A960B2" w:rsidRDefault="00A960B2" w:rsidP="00E313C7">
      <w:pPr>
        <w:shd w:val="clear" w:color="auto" w:fill="FFFFFF"/>
        <w:rPr>
          <w:rFonts w:ascii="Calibri" w:hAnsi="Calibri"/>
        </w:rPr>
      </w:pPr>
    </w:p>
    <w:p w:rsidR="001C213A" w:rsidRDefault="001C213A" w:rsidP="001C213A">
      <w:pPr>
        <w:rPr>
          <w:rFonts w:asciiTheme="minorHAnsi" w:eastAsiaTheme="majorEastAsia" w:hAnsiTheme="minorHAnsi" w:cstheme="majorBidi"/>
          <w:b/>
          <w:bCs/>
          <w:color w:val="365F91" w:themeColor="accent1" w:themeShade="BF"/>
          <w:sz w:val="28"/>
          <w:szCs w:val="28"/>
        </w:rPr>
      </w:pPr>
      <w:r>
        <w:rPr>
          <w:rFonts w:asciiTheme="minorHAnsi" w:eastAsiaTheme="majorEastAsia" w:hAnsiTheme="minorHAnsi" w:cstheme="majorBidi"/>
          <w:b/>
          <w:bCs/>
          <w:color w:val="365F91" w:themeColor="accent1" w:themeShade="BF"/>
          <w:sz w:val="28"/>
          <w:szCs w:val="28"/>
        </w:rPr>
        <w:t>EPS-IA Members</w:t>
      </w:r>
    </w:p>
    <w:p w:rsidR="001C213A" w:rsidRPr="001C213A" w:rsidRDefault="001C213A" w:rsidP="001C213A">
      <w:pPr>
        <w:rPr>
          <w:rFonts w:asciiTheme="minorHAnsi" w:eastAsiaTheme="majorEastAsia" w:hAnsiTheme="minorHAnsi" w:cstheme="majorBidi"/>
          <w:b/>
          <w:bCs/>
          <w:color w:val="365F91" w:themeColor="accent1" w:themeShade="BF"/>
        </w:rPr>
      </w:pPr>
    </w:p>
    <w:p w:rsidR="00A960B2" w:rsidRDefault="00A960B2" w:rsidP="00A960B2">
      <w:pPr>
        <w:rPr>
          <w:rFonts w:ascii="Calibri" w:hAnsi="Calibri"/>
        </w:rPr>
        <w:sectPr w:rsidR="00A960B2" w:rsidSect="00173E0C">
          <w:headerReference w:type="default" r:id="rId22"/>
          <w:pgSz w:w="12240" w:h="15840"/>
          <w:pgMar w:top="1440" w:right="1440" w:bottom="1440" w:left="1440" w:header="720" w:footer="720" w:gutter="0"/>
          <w:cols w:space="720"/>
          <w:docGrid w:linePitch="360"/>
        </w:sectPr>
      </w:pPr>
    </w:p>
    <w:p w:rsidR="00A960B2" w:rsidRPr="00A960B2" w:rsidRDefault="00A960B2" w:rsidP="00A960B2">
      <w:pPr>
        <w:rPr>
          <w:rFonts w:ascii="Calibri" w:hAnsi="Calibri"/>
          <w:sz w:val="14"/>
          <w:szCs w:val="14"/>
        </w:rPr>
      </w:pPr>
      <w:r w:rsidRPr="00A960B2">
        <w:rPr>
          <w:rFonts w:ascii="Calibri" w:hAnsi="Calibri"/>
          <w:sz w:val="14"/>
          <w:szCs w:val="14"/>
        </w:rPr>
        <w:lastRenderedPageBreak/>
        <w:t>ACH Foam Technologies</w:t>
      </w:r>
    </w:p>
    <w:p w:rsidR="00A960B2" w:rsidRPr="00A960B2" w:rsidRDefault="00A960B2" w:rsidP="00A960B2">
      <w:pPr>
        <w:rPr>
          <w:rFonts w:ascii="Calibri" w:hAnsi="Calibri"/>
          <w:sz w:val="14"/>
          <w:szCs w:val="14"/>
        </w:rPr>
      </w:pPr>
      <w:r w:rsidRPr="00A960B2">
        <w:rPr>
          <w:rFonts w:ascii="Calibri" w:hAnsi="Calibri"/>
          <w:sz w:val="14"/>
          <w:szCs w:val="14"/>
        </w:rPr>
        <w:t>ADLAM Films LLC</w:t>
      </w:r>
    </w:p>
    <w:p w:rsidR="00A960B2" w:rsidRPr="00A960B2" w:rsidRDefault="00A960B2" w:rsidP="00A960B2">
      <w:pPr>
        <w:rPr>
          <w:rFonts w:ascii="Calibri" w:hAnsi="Calibri"/>
          <w:sz w:val="14"/>
          <w:szCs w:val="14"/>
        </w:rPr>
      </w:pPr>
      <w:r w:rsidRPr="00A960B2">
        <w:rPr>
          <w:rFonts w:ascii="Calibri" w:hAnsi="Calibri"/>
          <w:sz w:val="14"/>
          <w:szCs w:val="14"/>
        </w:rPr>
        <w:t>AFM Corporation</w:t>
      </w:r>
    </w:p>
    <w:p w:rsidR="00A960B2" w:rsidRPr="00A960B2" w:rsidRDefault="00A960B2" w:rsidP="00A960B2">
      <w:pPr>
        <w:rPr>
          <w:rFonts w:ascii="Calibri" w:hAnsi="Calibri"/>
          <w:sz w:val="14"/>
          <w:szCs w:val="14"/>
        </w:rPr>
      </w:pPr>
      <w:proofErr w:type="spellStart"/>
      <w:r w:rsidRPr="00A960B2">
        <w:rPr>
          <w:rFonts w:ascii="Calibri" w:hAnsi="Calibri"/>
          <w:sz w:val="14"/>
          <w:szCs w:val="14"/>
        </w:rPr>
        <w:t>Airlite</w:t>
      </w:r>
      <w:proofErr w:type="spellEnd"/>
      <w:r w:rsidRPr="00A960B2">
        <w:rPr>
          <w:rFonts w:ascii="Calibri" w:hAnsi="Calibri"/>
          <w:sz w:val="14"/>
          <w:szCs w:val="14"/>
        </w:rPr>
        <w:t xml:space="preserve"> Plastics Co</w:t>
      </w:r>
      <w:proofErr w:type="gramStart"/>
      <w:r w:rsidRPr="00A960B2">
        <w:rPr>
          <w:rFonts w:ascii="Calibri" w:hAnsi="Calibri"/>
          <w:sz w:val="14"/>
          <w:szCs w:val="14"/>
        </w:rPr>
        <w:t>./</w:t>
      </w:r>
      <w:proofErr w:type="gramEnd"/>
      <w:r w:rsidRPr="00A960B2">
        <w:rPr>
          <w:rFonts w:ascii="Calibri" w:hAnsi="Calibri"/>
          <w:sz w:val="14"/>
          <w:szCs w:val="14"/>
        </w:rPr>
        <w:t>Fox Blocks</w:t>
      </w:r>
    </w:p>
    <w:p w:rsidR="00A960B2" w:rsidRPr="00A960B2" w:rsidRDefault="00A960B2" w:rsidP="00A960B2">
      <w:pPr>
        <w:rPr>
          <w:rFonts w:ascii="Calibri" w:hAnsi="Calibri"/>
          <w:sz w:val="14"/>
          <w:szCs w:val="14"/>
        </w:rPr>
      </w:pPr>
      <w:r w:rsidRPr="00A960B2">
        <w:rPr>
          <w:rFonts w:ascii="Calibri" w:hAnsi="Calibri"/>
          <w:sz w:val="14"/>
          <w:szCs w:val="14"/>
        </w:rPr>
        <w:t>APTCO, LLC</w:t>
      </w:r>
    </w:p>
    <w:p w:rsidR="00A960B2" w:rsidRPr="00A960B2" w:rsidRDefault="00A960B2" w:rsidP="00A960B2">
      <w:pPr>
        <w:rPr>
          <w:rFonts w:ascii="Calibri" w:hAnsi="Calibri"/>
          <w:sz w:val="14"/>
          <w:szCs w:val="14"/>
        </w:rPr>
      </w:pPr>
      <w:r w:rsidRPr="00A960B2">
        <w:rPr>
          <w:rFonts w:ascii="Calibri" w:hAnsi="Calibri"/>
          <w:sz w:val="14"/>
          <w:szCs w:val="14"/>
        </w:rPr>
        <w:t xml:space="preserve">Aqua-Pak </w:t>
      </w:r>
      <w:proofErr w:type="spellStart"/>
      <w:r w:rsidRPr="00A960B2">
        <w:rPr>
          <w:rFonts w:ascii="Calibri" w:hAnsi="Calibri"/>
          <w:sz w:val="14"/>
          <w:szCs w:val="14"/>
        </w:rPr>
        <w:t>Styro</w:t>
      </w:r>
      <w:proofErr w:type="spellEnd"/>
      <w:r w:rsidRPr="00A960B2">
        <w:rPr>
          <w:rFonts w:ascii="Calibri" w:hAnsi="Calibri"/>
          <w:sz w:val="14"/>
          <w:szCs w:val="14"/>
        </w:rPr>
        <w:t xml:space="preserve"> Containers Ltd.</w:t>
      </w:r>
    </w:p>
    <w:p w:rsidR="00A960B2" w:rsidRPr="00A960B2" w:rsidRDefault="00A960B2" w:rsidP="00A960B2">
      <w:pPr>
        <w:rPr>
          <w:rFonts w:ascii="Calibri" w:hAnsi="Calibri"/>
          <w:sz w:val="14"/>
          <w:szCs w:val="14"/>
        </w:rPr>
      </w:pPr>
      <w:r w:rsidRPr="00A960B2">
        <w:rPr>
          <w:rFonts w:ascii="Calibri" w:hAnsi="Calibri"/>
          <w:sz w:val="14"/>
          <w:szCs w:val="14"/>
        </w:rPr>
        <w:t>Argus DeWitt</w:t>
      </w:r>
    </w:p>
    <w:p w:rsidR="00A960B2" w:rsidRPr="00A960B2" w:rsidRDefault="00A960B2" w:rsidP="00A960B2">
      <w:pPr>
        <w:rPr>
          <w:rFonts w:ascii="Calibri" w:hAnsi="Calibri"/>
          <w:sz w:val="14"/>
          <w:szCs w:val="14"/>
        </w:rPr>
      </w:pPr>
      <w:r w:rsidRPr="00A960B2">
        <w:rPr>
          <w:rFonts w:ascii="Calibri" w:hAnsi="Calibri"/>
          <w:sz w:val="14"/>
          <w:szCs w:val="14"/>
        </w:rPr>
        <w:t>Armstrong Brands, Inc.</w:t>
      </w:r>
    </w:p>
    <w:p w:rsidR="00A960B2" w:rsidRPr="00A960B2" w:rsidRDefault="00A960B2" w:rsidP="00A960B2">
      <w:pPr>
        <w:rPr>
          <w:rFonts w:ascii="Calibri" w:hAnsi="Calibri"/>
          <w:sz w:val="14"/>
          <w:szCs w:val="14"/>
        </w:rPr>
      </w:pPr>
      <w:r w:rsidRPr="00A960B2">
        <w:rPr>
          <w:rFonts w:ascii="Calibri" w:hAnsi="Calibri"/>
          <w:sz w:val="14"/>
          <w:szCs w:val="14"/>
        </w:rPr>
        <w:t>Atlas EPS, A Division of Atlas Roofing</w:t>
      </w:r>
    </w:p>
    <w:p w:rsidR="00A960B2" w:rsidRPr="00A960B2" w:rsidRDefault="00A960B2" w:rsidP="00A960B2">
      <w:pPr>
        <w:rPr>
          <w:rFonts w:ascii="Calibri" w:hAnsi="Calibri"/>
          <w:sz w:val="14"/>
          <w:szCs w:val="14"/>
        </w:rPr>
      </w:pPr>
      <w:proofErr w:type="spellStart"/>
      <w:r w:rsidRPr="00A960B2">
        <w:rPr>
          <w:rFonts w:ascii="Calibri" w:hAnsi="Calibri"/>
          <w:sz w:val="14"/>
          <w:szCs w:val="14"/>
        </w:rPr>
        <w:t>Avangard</w:t>
      </w:r>
      <w:proofErr w:type="spellEnd"/>
      <w:r w:rsidRPr="00A960B2">
        <w:rPr>
          <w:rFonts w:ascii="Calibri" w:hAnsi="Calibri"/>
          <w:sz w:val="14"/>
          <w:szCs w:val="14"/>
        </w:rPr>
        <w:t xml:space="preserve"> Innovative</w:t>
      </w:r>
    </w:p>
    <w:p w:rsidR="00A960B2" w:rsidRPr="00A960B2" w:rsidRDefault="00A960B2" w:rsidP="00A960B2">
      <w:pPr>
        <w:rPr>
          <w:rFonts w:ascii="Calibri" w:hAnsi="Calibri"/>
          <w:sz w:val="14"/>
          <w:szCs w:val="14"/>
        </w:rPr>
      </w:pPr>
      <w:r w:rsidRPr="00A960B2">
        <w:rPr>
          <w:rFonts w:ascii="Calibri" w:hAnsi="Calibri"/>
          <w:sz w:val="14"/>
          <w:szCs w:val="14"/>
        </w:rPr>
        <w:t>BASF Corporation</w:t>
      </w:r>
    </w:p>
    <w:p w:rsidR="00A960B2" w:rsidRPr="00A960B2" w:rsidRDefault="00A960B2" w:rsidP="00A960B2">
      <w:pPr>
        <w:rPr>
          <w:rFonts w:ascii="Calibri" w:hAnsi="Calibri"/>
          <w:sz w:val="14"/>
          <w:szCs w:val="14"/>
        </w:rPr>
      </w:pPr>
      <w:r w:rsidRPr="00A960B2">
        <w:rPr>
          <w:rFonts w:ascii="Calibri" w:hAnsi="Calibri"/>
          <w:sz w:val="14"/>
          <w:szCs w:val="14"/>
        </w:rPr>
        <w:t>Beaver Plastics Ltd</w:t>
      </w:r>
    </w:p>
    <w:p w:rsidR="00A960B2" w:rsidRPr="00A960B2" w:rsidRDefault="00A960B2" w:rsidP="00A960B2">
      <w:pPr>
        <w:rPr>
          <w:rFonts w:ascii="Calibri" w:hAnsi="Calibri"/>
          <w:sz w:val="14"/>
          <w:szCs w:val="14"/>
        </w:rPr>
      </w:pPr>
      <w:proofErr w:type="spellStart"/>
      <w:r w:rsidRPr="00A960B2">
        <w:rPr>
          <w:rFonts w:ascii="Calibri" w:hAnsi="Calibri"/>
          <w:sz w:val="14"/>
          <w:szCs w:val="14"/>
        </w:rPr>
        <w:t>Cellofoam</w:t>
      </w:r>
      <w:proofErr w:type="spellEnd"/>
      <w:r w:rsidRPr="00A960B2">
        <w:rPr>
          <w:rFonts w:ascii="Calibri" w:hAnsi="Calibri"/>
          <w:sz w:val="14"/>
          <w:szCs w:val="14"/>
        </w:rPr>
        <w:t xml:space="preserve"> North America, Inc.</w:t>
      </w:r>
    </w:p>
    <w:p w:rsidR="00A960B2" w:rsidRPr="00A960B2" w:rsidRDefault="00A960B2" w:rsidP="00A960B2">
      <w:pPr>
        <w:rPr>
          <w:rFonts w:ascii="Calibri" w:hAnsi="Calibri"/>
          <w:sz w:val="14"/>
          <w:szCs w:val="14"/>
        </w:rPr>
      </w:pPr>
      <w:r w:rsidRPr="00A960B2">
        <w:rPr>
          <w:rFonts w:ascii="Calibri" w:hAnsi="Calibri"/>
          <w:sz w:val="14"/>
          <w:szCs w:val="14"/>
        </w:rPr>
        <w:t>Comfort Research LLC</w:t>
      </w:r>
    </w:p>
    <w:p w:rsidR="00A960B2" w:rsidRPr="00A960B2" w:rsidRDefault="00A960B2" w:rsidP="00A960B2">
      <w:pPr>
        <w:rPr>
          <w:rFonts w:ascii="Calibri" w:hAnsi="Calibri"/>
          <w:sz w:val="14"/>
          <w:szCs w:val="14"/>
        </w:rPr>
      </w:pPr>
      <w:proofErr w:type="gramStart"/>
      <w:r w:rsidRPr="00A960B2">
        <w:rPr>
          <w:rFonts w:ascii="Calibri" w:hAnsi="Calibri"/>
          <w:sz w:val="14"/>
          <w:szCs w:val="14"/>
        </w:rPr>
        <w:t>Concrete Block Insulating Systems, Inc.</w:t>
      </w:r>
      <w:proofErr w:type="gramEnd"/>
    </w:p>
    <w:p w:rsidR="00A960B2" w:rsidRPr="00A960B2" w:rsidRDefault="00A960B2" w:rsidP="00A960B2">
      <w:pPr>
        <w:rPr>
          <w:rFonts w:ascii="Calibri" w:hAnsi="Calibri"/>
          <w:sz w:val="14"/>
          <w:szCs w:val="14"/>
        </w:rPr>
      </w:pPr>
      <w:proofErr w:type="spellStart"/>
      <w:r w:rsidRPr="00A960B2">
        <w:rPr>
          <w:rFonts w:ascii="Calibri" w:hAnsi="Calibri"/>
          <w:sz w:val="14"/>
          <w:szCs w:val="14"/>
        </w:rPr>
        <w:t>DiversiFoam</w:t>
      </w:r>
      <w:proofErr w:type="spellEnd"/>
      <w:r w:rsidRPr="00A960B2">
        <w:rPr>
          <w:rFonts w:ascii="Calibri" w:hAnsi="Calibri"/>
          <w:sz w:val="14"/>
          <w:szCs w:val="14"/>
        </w:rPr>
        <w:t xml:space="preserve"> Products</w:t>
      </w:r>
    </w:p>
    <w:p w:rsidR="00A960B2" w:rsidRPr="00A960B2" w:rsidRDefault="00A960B2" w:rsidP="00A960B2">
      <w:pPr>
        <w:rPr>
          <w:rFonts w:ascii="Calibri" w:hAnsi="Calibri"/>
          <w:sz w:val="14"/>
          <w:szCs w:val="14"/>
        </w:rPr>
      </w:pPr>
      <w:r w:rsidRPr="00A960B2">
        <w:rPr>
          <w:rFonts w:ascii="Calibri" w:hAnsi="Calibri"/>
          <w:sz w:val="14"/>
          <w:szCs w:val="14"/>
        </w:rPr>
        <w:t>Drew Foam Companies, Inc.</w:t>
      </w:r>
    </w:p>
    <w:p w:rsidR="00A960B2" w:rsidRPr="00A960B2" w:rsidRDefault="00A960B2" w:rsidP="00A960B2">
      <w:pPr>
        <w:rPr>
          <w:rFonts w:ascii="Calibri" w:hAnsi="Calibri"/>
          <w:sz w:val="14"/>
          <w:szCs w:val="14"/>
        </w:rPr>
      </w:pPr>
      <w:r w:rsidRPr="00A960B2">
        <w:rPr>
          <w:rFonts w:ascii="Calibri" w:hAnsi="Calibri"/>
          <w:sz w:val="14"/>
          <w:szCs w:val="14"/>
        </w:rPr>
        <w:lastRenderedPageBreak/>
        <w:t>EFP Corporation</w:t>
      </w:r>
    </w:p>
    <w:p w:rsidR="00A960B2" w:rsidRPr="00A960B2" w:rsidRDefault="00A960B2" w:rsidP="00A960B2">
      <w:pPr>
        <w:rPr>
          <w:rFonts w:ascii="Calibri" w:hAnsi="Calibri"/>
          <w:sz w:val="14"/>
          <w:szCs w:val="14"/>
        </w:rPr>
      </w:pPr>
      <w:r w:rsidRPr="00A960B2">
        <w:rPr>
          <w:rFonts w:ascii="Calibri" w:hAnsi="Calibri"/>
          <w:sz w:val="14"/>
          <w:szCs w:val="14"/>
        </w:rPr>
        <w:t>Flint Hills Resources, LP</w:t>
      </w:r>
    </w:p>
    <w:p w:rsidR="00A960B2" w:rsidRPr="00A960B2" w:rsidRDefault="00A960B2" w:rsidP="00A960B2">
      <w:pPr>
        <w:rPr>
          <w:rFonts w:ascii="Calibri" w:hAnsi="Calibri"/>
          <w:sz w:val="14"/>
          <w:szCs w:val="14"/>
        </w:rPr>
      </w:pPr>
      <w:r w:rsidRPr="00A960B2">
        <w:rPr>
          <w:rFonts w:ascii="Calibri" w:hAnsi="Calibri"/>
          <w:sz w:val="14"/>
          <w:szCs w:val="14"/>
        </w:rPr>
        <w:t>FMI-EPS, LLC</w:t>
      </w:r>
    </w:p>
    <w:p w:rsidR="00A960B2" w:rsidRPr="00A960B2" w:rsidRDefault="00A960B2" w:rsidP="00A960B2">
      <w:pPr>
        <w:rPr>
          <w:rFonts w:ascii="Calibri" w:hAnsi="Calibri"/>
          <w:sz w:val="14"/>
          <w:szCs w:val="14"/>
        </w:rPr>
      </w:pPr>
      <w:r w:rsidRPr="00A960B2">
        <w:rPr>
          <w:rFonts w:ascii="Calibri" w:hAnsi="Calibri"/>
          <w:sz w:val="14"/>
          <w:szCs w:val="14"/>
        </w:rPr>
        <w:t>Foam Equipment &amp; Consulting Co.</w:t>
      </w:r>
    </w:p>
    <w:p w:rsidR="00A960B2" w:rsidRPr="00A960B2" w:rsidRDefault="00A960B2" w:rsidP="00A960B2">
      <w:pPr>
        <w:rPr>
          <w:rFonts w:ascii="Calibri" w:hAnsi="Calibri"/>
          <w:sz w:val="14"/>
          <w:szCs w:val="14"/>
        </w:rPr>
      </w:pPr>
      <w:r w:rsidRPr="00A960B2">
        <w:rPr>
          <w:rFonts w:ascii="Calibri" w:hAnsi="Calibri"/>
          <w:sz w:val="14"/>
          <w:szCs w:val="14"/>
        </w:rPr>
        <w:t>Foam Fabricators, Inc.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Fransyl</w:t>
      </w:r>
      <w:proofErr w:type="spellEnd"/>
      <w:r w:rsidRPr="00A960B2">
        <w:rPr>
          <w:rFonts w:ascii="Calibri" w:hAnsi="Calibri"/>
          <w:sz w:val="14"/>
          <w:szCs w:val="14"/>
        </w:rPr>
        <w:t xml:space="preserve"> LTD</w:t>
      </w:r>
    </w:p>
    <w:p w:rsidR="00A960B2" w:rsidRPr="00A960B2" w:rsidRDefault="00A960B2" w:rsidP="00A960B2">
      <w:pPr>
        <w:rPr>
          <w:rFonts w:ascii="Calibri" w:hAnsi="Calibri"/>
          <w:sz w:val="14"/>
          <w:szCs w:val="14"/>
        </w:rPr>
      </w:pPr>
      <w:r w:rsidRPr="00A960B2">
        <w:rPr>
          <w:rFonts w:ascii="Calibri" w:hAnsi="Calibri"/>
          <w:sz w:val="14"/>
          <w:szCs w:val="14"/>
        </w:rPr>
        <w:t>Gala Industries, Inc.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Groupe</w:t>
      </w:r>
      <w:proofErr w:type="spellEnd"/>
      <w:r w:rsidRPr="00A960B2">
        <w:rPr>
          <w:rFonts w:ascii="Calibri" w:hAnsi="Calibri"/>
          <w:sz w:val="14"/>
          <w:szCs w:val="14"/>
        </w:rPr>
        <w:t xml:space="preserve"> </w:t>
      </w:r>
      <w:proofErr w:type="spellStart"/>
      <w:r w:rsidRPr="00A960B2">
        <w:rPr>
          <w:rFonts w:ascii="Calibri" w:hAnsi="Calibri"/>
          <w:sz w:val="14"/>
          <w:szCs w:val="14"/>
        </w:rPr>
        <w:t>Isolofoam</w:t>
      </w:r>
      <w:proofErr w:type="spellEnd"/>
    </w:p>
    <w:p w:rsidR="00A960B2" w:rsidRPr="00A960B2" w:rsidRDefault="00A960B2" w:rsidP="00A960B2">
      <w:pPr>
        <w:rPr>
          <w:rFonts w:ascii="Calibri" w:hAnsi="Calibri"/>
          <w:sz w:val="14"/>
          <w:szCs w:val="14"/>
        </w:rPr>
      </w:pPr>
      <w:r w:rsidRPr="00A960B2">
        <w:rPr>
          <w:rFonts w:ascii="Calibri" w:hAnsi="Calibri"/>
          <w:sz w:val="14"/>
          <w:szCs w:val="14"/>
        </w:rPr>
        <w:t>HIRSCH Americas, LTD</w:t>
      </w:r>
    </w:p>
    <w:p w:rsidR="00A960B2" w:rsidRPr="00A960B2" w:rsidRDefault="00A960B2" w:rsidP="00A960B2">
      <w:pPr>
        <w:rPr>
          <w:rFonts w:ascii="Calibri" w:hAnsi="Calibri"/>
          <w:sz w:val="14"/>
          <w:szCs w:val="14"/>
        </w:rPr>
      </w:pPr>
      <w:r w:rsidRPr="00A960B2">
        <w:rPr>
          <w:rFonts w:ascii="Calibri" w:hAnsi="Calibri"/>
          <w:sz w:val="14"/>
          <w:szCs w:val="14"/>
        </w:rPr>
        <w:t>Houston Foam Plastics</w:t>
      </w:r>
    </w:p>
    <w:p w:rsidR="00A960B2" w:rsidRPr="00A960B2" w:rsidRDefault="00A960B2" w:rsidP="00A960B2">
      <w:pPr>
        <w:rPr>
          <w:rFonts w:ascii="Calibri" w:hAnsi="Calibri"/>
          <w:sz w:val="14"/>
          <w:szCs w:val="14"/>
        </w:rPr>
      </w:pPr>
      <w:r w:rsidRPr="00A960B2">
        <w:rPr>
          <w:rFonts w:ascii="Calibri" w:hAnsi="Calibri"/>
          <w:sz w:val="14"/>
          <w:szCs w:val="14"/>
        </w:rPr>
        <w:t>Huntington Foam LLC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InSoFast</w:t>
      </w:r>
      <w:proofErr w:type="spellEnd"/>
      <w:r w:rsidRPr="00A960B2">
        <w:rPr>
          <w:rFonts w:ascii="Calibri" w:hAnsi="Calibri"/>
          <w:sz w:val="14"/>
          <w:szCs w:val="14"/>
        </w:rPr>
        <w:t>, LLC</w:t>
      </w:r>
    </w:p>
    <w:p w:rsidR="00A960B2" w:rsidRPr="00A960B2" w:rsidRDefault="00A960B2" w:rsidP="00A960B2">
      <w:pPr>
        <w:rPr>
          <w:rFonts w:ascii="Calibri" w:hAnsi="Calibri"/>
          <w:sz w:val="14"/>
          <w:szCs w:val="14"/>
        </w:rPr>
      </w:pPr>
      <w:r w:rsidRPr="00A960B2">
        <w:rPr>
          <w:rFonts w:ascii="Calibri" w:hAnsi="Calibri"/>
          <w:sz w:val="14"/>
          <w:szCs w:val="14"/>
        </w:rPr>
        <w:t>Insulation Corporation of America</w:t>
      </w:r>
    </w:p>
    <w:p w:rsidR="00A960B2" w:rsidRPr="00A960B2" w:rsidRDefault="00A960B2" w:rsidP="00A960B2">
      <w:pPr>
        <w:rPr>
          <w:rFonts w:ascii="Calibri" w:hAnsi="Calibri"/>
          <w:sz w:val="14"/>
          <w:szCs w:val="14"/>
        </w:rPr>
      </w:pPr>
      <w:r w:rsidRPr="00A960B2">
        <w:rPr>
          <w:rFonts w:ascii="Calibri" w:hAnsi="Calibri"/>
          <w:sz w:val="14"/>
          <w:szCs w:val="14"/>
        </w:rPr>
        <w:t>Insulation Technology, Inc.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Insulfoam</w:t>
      </w:r>
      <w:proofErr w:type="spellEnd"/>
      <w:r w:rsidRPr="00A960B2">
        <w:rPr>
          <w:rFonts w:ascii="Calibri" w:hAnsi="Calibri"/>
          <w:sz w:val="14"/>
          <w:szCs w:val="14"/>
        </w:rPr>
        <w:t xml:space="preserve"> LLC</w:t>
      </w:r>
    </w:p>
    <w:p w:rsidR="00A960B2" w:rsidRPr="00A960B2" w:rsidRDefault="00A960B2" w:rsidP="00A960B2">
      <w:pPr>
        <w:rPr>
          <w:rFonts w:ascii="Calibri" w:hAnsi="Calibri"/>
          <w:sz w:val="14"/>
          <w:szCs w:val="14"/>
        </w:rPr>
      </w:pPr>
      <w:r w:rsidRPr="00A960B2">
        <w:rPr>
          <w:rFonts w:ascii="Calibri" w:hAnsi="Calibri"/>
          <w:sz w:val="14"/>
          <w:szCs w:val="14"/>
        </w:rPr>
        <w:t xml:space="preserve">KBM </w:t>
      </w:r>
      <w:proofErr w:type="spellStart"/>
      <w:r w:rsidRPr="00A960B2">
        <w:rPr>
          <w:rFonts w:ascii="Calibri" w:hAnsi="Calibri"/>
          <w:sz w:val="14"/>
          <w:szCs w:val="14"/>
        </w:rPr>
        <w:t>ApS</w:t>
      </w:r>
      <w:proofErr w:type="spellEnd"/>
    </w:p>
    <w:p w:rsidR="00A960B2" w:rsidRPr="00A960B2" w:rsidRDefault="00A960B2" w:rsidP="00A960B2">
      <w:pPr>
        <w:rPr>
          <w:rFonts w:ascii="Calibri" w:hAnsi="Calibri"/>
          <w:sz w:val="14"/>
          <w:szCs w:val="14"/>
        </w:rPr>
      </w:pPr>
      <w:r w:rsidRPr="00A960B2">
        <w:rPr>
          <w:rFonts w:ascii="Calibri" w:hAnsi="Calibri"/>
          <w:sz w:val="14"/>
          <w:szCs w:val="14"/>
        </w:rPr>
        <w:t>Kurtz ERSA</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lastRenderedPageBreak/>
        <w:t>Lanxess</w:t>
      </w:r>
      <w:proofErr w:type="spellEnd"/>
      <w:r w:rsidRPr="00A960B2">
        <w:rPr>
          <w:rFonts w:ascii="Calibri" w:hAnsi="Calibri"/>
          <w:sz w:val="14"/>
          <w:szCs w:val="14"/>
        </w:rPr>
        <w:t xml:space="preserve"> Corporation</w:t>
      </w:r>
    </w:p>
    <w:p w:rsidR="00A960B2" w:rsidRPr="00A960B2" w:rsidRDefault="00A960B2" w:rsidP="001C213A">
      <w:pPr>
        <w:ind w:left="-270"/>
        <w:rPr>
          <w:rFonts w:ascii="Calibri" w:hAnsi="Calibri"/>
          <w:sz w:val="14"/>
          <w:szCs w:val="14"/>
        </w:rPr>
      </w:pPr>
      <w:r w:rsidRPr="00A960B2">
        <w:rPr>
          <w:rFonts w:ascii="Calibri" w:hAnsi="Calibri"/>
          <w:sz w:val="14"/>
          <w:szCs w:val="14"/>
        </w:rPr>
        <w:t xml:space="preserve">Le </w:t>
      </w:r>
      <w:proofErr w:type="spellStart"/>
      <w:r w:rsidRPr="00A960B2">
        <w:rPr>
          <w:rFonts w:ascii="Calibri" w:hAnsi="Calibri"/>
          <w:sz w:val="14"/>
          <w:szCs w:val="14"/>
        </w:rPr>
        <w:t>Groupe</w:t>
      </w:r>
      <w:proofErr w:type="spellEnd"/>
      <w:r w:rsidRPr="00A960B2">
        <w:rPr>
          <w:rFonts w:ascii="Calibri" w:hAnsi="Calibri"/>
          <w:sz w:val="14"/>
          <w:szCs w:val="14"/>
        </w:rPr>
        <w:t xml:space="preserve"> </w:t>
      </w:r>
      <w:proofErr w:type="spellStart"/>
      <w:r w:rsidRPr="00A960B2">
        <w:rPr>
          <w:rFonts w:ascii="Calibri" w:hAnsi="Calibri"/>
          <w:sz w:val="14"/>
          <w:szCs w:val="14"/>
        </w:rPr>
        <w:t>LegerLite</w:t>
      </w:r>
      <w:proofErr w:type="spellEnd"/>
      <w:r w:rsidRPr="00A960B2">
        <w:rPr>
          <w:rFonts w:ascii="Calibri" w:hAnsi="Calibri"/>
          <w:sz w:val="14"/>
          <w:szCs w:val="14"/>
        </w:rPr>
        <w:t>, Inc.</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t>Lifoam</w:t>
      </w:r>
      <w:proofErr w:type="spellEnd"/>
      <w:r w:rsidRPr="00A960B2">
        <w:rPr>
          <w:rFonts w:ascii="Calibri" w:hAnsi="Calibri"/>
          <w:sz w:val="14"/>
          <w:szCs w:val="14"/>
        </w:rPr>
        <w:t xml:space="preserve"> Industries</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t>Logix</w:t>
      </w:r>
      <w:proofErr w:type="spellEnd"/>
      <w:r w:rsidRPr="00A960B2">
        <w:rPr>
          <w:rFonts w:ascii="Calibri" w:hAnsi="Calibri"/>
          <w:sz w:val="14"/>
          <w:szCs w:val="14"/>
        </w:rPr>
        <w:t xml:space="preserve"> ICF Ltd.</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t>Mansonville</w:t>
      </w:r>
      <w:proofErr w:type="spellEnd"/>
      <w:r w:rsidRPr="00A960B2">
        <w:rPr>
          <w:rFonts w:ascii="Calibri" w:hAnsi="Calibri"/>
          <w:sz w:val="14"/>
          <w:szCs w:val="14"/>
        </w:rPr>
        <w:t xml:space="preserve"> </w:t>
      </w:r>
      <w:proofErr w:type="gramStart"/>
      <w:r w:rsidRPr="00A960B2">
        <w:rPr>
          <w:rFonts w:ascii="Calibri" w:hAnsi="Calibri"/>
          <w:sz w:val="14"/>
          <w:szCs w:val="14"/>
        </w:rPr>
        <w:t>Plastics(</w:t>
      </w:r>
      <w:proofErr w:type="gramEnd"/>
      <w:r w:rsidRPr="00A960B2">
        <w:rPr>
          <w:rFonts w:ascii="Calibri" w:hAnsi="Calibri"/>
          <w:sz w:val="14"/>
          <w:szCs w:val="14"/>
        </w:rPr>
        <w:t>BC)Ltd./First Choice Manufacturing</w:t>
      </w:r>
    </w:p>
    <w:p w:rsidR="00A960B2" w:rsidRPr="00A960B2" w:rsidRDefault="00A960B2" w:rsidP="001C213A">
      <w:pPr>
        <w:ind w:left="-270"/>
        <w:rPr>
          <w:rFonts w:ascii="Calibri" w:hAnsi="Calibri"/>
          <w:sz w:val="14"/>
          <w:szCs w:val="14"/>
        </w:rPr>
      </w:pPr>
      <w:r w:rsidRPr="00A960B2">
        <w:rPr>
          <w:rFonts w:ascii="Calibri" w:hAnsi="Calibri"/>
          <w:sz w:val="14"/>
          <w:szCs w:val="14"/>
        </w:rPr>
        <w:t>MODIX Corporation</w:t>
      </w:r>
    </w:p>
    <w:p w:rsidR="00A960B2" w:rsidRPr="00A960B2" w:rsidRDefault="00A960B2" w:rsidP="001C213A">
      <w:pPr>
        <w:ind w:left="-270"/>
        <w:rPr>
          <w:rFonts w:ascii="Calibri" w:hAnsi="Calibri"/>
          <w:sz w:val="14"/>
          <w:szCs w:val="14"/>
        </w:rPr>
      </w:pPr>
      <w:r w:rsidRPr="00A960B2">
        <w:rPr>
          <w:rFonts w:ascii="Calibri" w:hAnsi="Calibri"/>
          <w:sz w:val="14"/>
          <w:szCs w:val="14"/>
        </w:rPr>
        <w:t>Nantong Chaoda Science &amp; Technology Co. LTD</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t>Nexkemia</w:t>
      </w:r>
      <w:proofErr w:type="spellEnd"/>
      <w:r w:rsidRPr="00A960B2">
        <w:rPr>
          <w:rFonts w:ascii="Calibri" w:hAnsi="Calibri"/>
          <w:sz w:val="14"/>
          <w:szCs w:val="14"/>
        </w:rPr>
        <w:t xml:space="preserve"> Petrochemicals Inc.</w:t>
      </w:r>
    </w:p>
    <w:p w:rsidR="00A960B2" w:rsidRPr="00A960B2" w:rsidRDefault="00A960B2" w:rsidP="001C213A">
      <w:pPr>
        <w:ind w:left="-270"/>
        <w:rPr>
          <w:rFonts w:ascii="Calibri" w:hAnsi="Calibri"/>
          <w:sz w:val="14"/>
          <w:szCs w:val="14"/>
        </w:rPr>
      </w:pPr>
      <w:r w:rsidRPr="00A960B2">
        <w:rPr>
          <w:rFonts w:ascii="Calibri" w:hAnsi="Calibri"/>
          <w:sz w:val="14"/>
          <w:szCs w:val="14"/>
        </w:rPr>
        <w:t>Northwest Foam Products</w:t>
      </w:r>
    </w:p>
    <w:p w:rsidR="00A960B2" w:rsidRPr="00A960B2" w:rsidRDefault="00A960B2" w:rsidP="001C213A">
      <w:pPr>
        <w:ind w:left="-270"/>
        <w:rPr>
          <w:rFonts w:ascii="Calibri" w:hAnsi="Calibri"/>
          <w:sz w:val="14"/>
          <w:szCs w:val="14"/>
        </w:rPr>
      </w:pPr>
      <w:r w:rsidRPr="00A960B2">
        <w:rPr>
          <w:rFonts w:ascii="Calibri" w:hAnsi="Calibri"/>
          <w:sz w:val="14"/>
          <w:szCs w:val="14"/>
        </w:rPr>
        <w:t>NOVA Chemicals, Inc.</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t>Nuova</w:t>
      </w:r>
      <w:proofErr w:type="spellEnd"/>
      <w:r w:rsidRPr="00A960B2">
        <w:rPr>
          <w:rFonts w:ascii="Calibri" w:hAnsi="Calibri"/>
          <w:sz w:val="14"/>
          <w:szCs w:val="14"/>
        </w:rPr>
        <w:t xml:space="preserve"> </w:t>
      </w:r>
      <w:proofErr w:type="spellStart"/>
      <w:r w:rsidRPr="00A960B2">
        <w:rPr>
          <w:rFonts w:ascii="Calibri" w:hAnsi="Calibri"/>
          <w:sz w:val="14"/>
          <w:szCs w:val="14"/>
        </w:rPr>
        <w:t>IdroPress</w:t>
      </w:r>
      <w:proofErr w:type="spellEnd"/>
      <w:r w:rsidRPr="00A960B2">
        <w:rPr>
          <w:rFonts w:ascii="Calibri" w:hAnsi="Calibri"/>
          <w:sz w:val="14"/>
          <w:szCs w:val="14"/>
        </w:rPr>
        <w:t xml:space="preserve"> </w:t>
      </w:r>
      <w:proofErr w:type="spellStart"/>
      <w:r w:rsidRPr="00A960B2">
        <w:rPr>
          <w:rFonts w:ascii="Calibri" w:hAnsi="Calibri"/>
          <w:sz w:val="14"/>
          <w:szCs w:val="14"/>
        </w:rPr>
        <w:t>SpA</w:t>
      </w:r>
      <w:proofErr w:type="spellEnd"/>
    </w:p>
    <w:p w:rsidR="00A960B2" w:rsidRPr="00A960B2" w:rsidRDefault="00A960B2" w:rsidP="001C213A">
      <w:pPr>
        <w:ind w:left="-270"/>
        <w:rPr>
          <w:rFonts w:ascii="Calibri" w:hAnsi="Calibri"/>
          <w:sz w:val="14"/>
          <w:szCs w:val="14"/>
        </w:rPr>
      </w:pPr>
      <w:r w:rsidRPr="00A960B2">
        <w:rPr>
          <w:rFonts w:ascii="Calibri" w:hAnsi="Calibri"/>
          <w:sz w:val="14"/>
          <w:szCs w:val="14"/>
        </w:rPr>
        <w:t>OPCO, Inc.</w:t>
      </w:r>
    </w:p>
    <w:p w:rsidR="00A960B2" w:rsidRPr="00A960B2" w:rsidRDefault="00A960B2" w:rsidP="001C213A">
      <w:pPr>
        <w:ind w:left="-270"/>
        <w:rPr>
          <w:rFonts w:ascii="Calibri" w:hAnsi="Calibri"/>
          <w:sz w:val="14"/>
          <w:szCs w:val="14"/>
        </w:rPr>
      </w:pPr>
      <w:proofErr w:type="spellStart"/>
      <w:r w:rsidRPr="00A960B2">
        <w:rPr>
          <w:rFonts w:ascii="Calibri" w:hAnsi="Calibri"/>
          <w:sz w:val="14"/>
          <w:szCs w:val="14"/>
        </w:rPr>
        <w:t>Plasti-Fab</w:t>
      </w:r>
      <w:proofErr w:type="spellEnd"/>
      <w:r w:rsidRPr="00A960B2">
        <w:rPr>
          <w:rFonts w:ascii="Calibri" w:hAnsi="Calibri"/>
          <w:sz w:val="14"/>
          <w:szCs w:val="14"/>
        </w:rPr>
        <w:t xml:space="preserve"> Ltd.</w:t>
      </w:r>
    </w:p>
    <w:p w:rsidR="00A960B2" w:rsidRPr="00A960B2" w:rsidRDefault="00A960B2" w:rsidP="001C213A">
      <w:pPr>
        <w:ind w:left="-270"/>
        <w:rPr>
          <w:rFonts w:ascii="Calibri" w:hAnsi="Calibri"/>
          <w:sz w:val="14"/>
          <w:szCs w:val="14"/>
        </w:rPr>
      </w:pPr>
      <w:r w:rsidRPr="00A960B2">
        <w:rPr>
          <w:rFonts w:ascii="Calibri" w:hAnsi="Calibri"/>
          <w:sz w:val="14"/>
          <w:szCs w:val="14"/>
        </w:rPr>
        <w:t>Plymouth Foam Inc.</w:t>
      </w:r>
    </w:p>
    <w:p w:rsidR="00A960B2" w:rsidRPr="00A960B2" w:rsidRDefault="00A960B2" w:rsidP="001C213A">
      <w:pPr>
        <w:ind w:left="-270"/>
        <w:rPr>
          <w:rFonts w:ascii="Calibri" w:hAnsi="Calibri"/>
          <w:sz w:val="14"/>
          <w:szCs w:val="14"/>
        </w:rPr>
      </w:pPr>
      <w:proofErr w:type="gramStart"/>
      <w:r w:rsidRPr="00A960B2">
        <w:rPr>
          <w:rFonts w:ascii="Calibri" w:hAnsi="Calibri"/>
          <w:sz w:val="14"/>
          <w:szCs w:val="14"/>
        </w:rPr>
        <w:t>Polar Industries, Inc.</w:t>
      </w:r>
      <w:proofErr w:type="gramEnd"/>
    </w:p>
    <w:p w:rsidR="001C213A" w:rsidRDefault="001C213A" w:rsidP="00A960B2">
      <w:pPr>
        <w:rPr>
          <w:rFonts w:ascii="Calibri" w:hAnsi="Calibri"/>
          <w:sz w:val="14"/>
          <w:szCs w:val="14"/>
        </w:rPr>
      </w:pPr>
    </w:p>
    <w:p w:rsidR="00A960B2" w:rsidRPr="00A960B2" w:rsidRDefault="00A960B2" w:rsidP="00A960B2">
      <w:pPr>
        <w:rPr>
          <w:rFonts w:ascii="Calibri" w:hAnsi="Calibri"/>
          <w:sz w:val="14"/>
          <w:szCs w:val="14"/>
        </w:rPr>
      </w:pPr>
      <w:proofErr w:type="spellStart"/>
      <w:r w:rsidRPr="00A960B2">
        <w:rPr>
          <w:rFonts w:ascii="Calibri" w:hAnsi="Calibri"/>
          <w:sz w:val="14"/>
          <w:szCs w:val="14"/>
        </w:rPr>
        <w:lastRenderedPageBreak/>
        <w:t>Polyfoam</w:t>
      </w:r>
      <w:proofErr w:type="spellEnd"/>
      <w:r w:rsidRPr="00A960B2">
        <w:rPr>
          <w:rFonts w:ascii="Calibri" w:hAnsi="Calibri"/>
          <w:sz w:val="14"/>
          <w:szCs w:val="14"/>
        </w:rPr>
        <w:t xml:space="preserve"> Corporation</w:t>
      </w:r>
    </w:p>
    <w:p w:rsidR="00A960B2" w:rsidRPr="00A960B2" w:rsidRDefault="00A960B2" w:rsidP="00A960B2">
      <w:pPr>
        <w:rPr>
          <w:rFonts w:ascii="Calibri" w:hAnsi="Calibri"/>
          <w:sz w:val="14"/>
          <w:szCs w:val="14"/>
        </w:rPr>
      </w:pPr>
      <w:proofErr w:type="spellStart"/>
      <w:r w:rsidRPr="00A960B2">
        <w:rPr>
          <w:rFonts w:ascii="Calibri" w:hAnsi="Calibri"/>
          <w:sz w:val="14"/>
          <w:szCs w:val="14"/>
        </w:rPr>
        <w:t>Polyform</w:t>
      </w:r>
      <w:proofErr w:type="spellEnd"/>
      <w:r w:rsidRPr="00A960B2">
        <w:rPr>
          <w:rFonts w:ascii="Calibri" w:hAnsi="Calibri"/>
          <w:sz w:val="14"/>
          <w:szCs w:val="14"/>
        </w:rPr>
        <w:t xml:space="preserve"> Inc.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Polymos</w:t>
      </w:r>
      <w:proofErr w:type="spellEnd"/>
      <w:r w:rsidRPr="00A960B2">
        <w:rPr>
          <w:rFonts w:ascii="Calibri" w:hAnsi="Calibri"/>
          <w:sz w:val="14"/>
          <w:szCs w:val="14"/>
        </w:rPr>
        <w:t xml:space="preserve"> Inc.</w:t>
      </w:r>
    </w:p>
    <w:p w:rsidR="00A960B2" w:rsidRPr="00A960B2" w:rsidRDefault="00A960B2" w:rsidP="00A960B2">
      <w:pPr>
        <w:rPr>
          <w:rFonts w:ascii="Calibri" w:hAnsi="Calibri"/>
          <w:sz w:val="14"/>
          <w:szCs w:val="14"/>
        </w:rPr>
      </w:pPr>
      <w:r w:rsidRPr="00A960B2">
        <w:rPr>
          <w:rFonts w:ascii="Calibri" w:hAnsi="Calibri"/>
          <w:sz w:val="14"/>
          <w:szCs w:val="14"/>
        </w:rPr>
        <w:t>Progressive Foam Technologies, Inc.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ProWall</w:t>
      </w:r>
      <w:proofErr w:type="spellEnd"/>
      <w:r w:rsidRPr="00A960B2">
        <w:rPr>
          <w:rFonts w:ascii="Calibri" w:hAnsi="Calibri"/>
          <w:sz w:val="14"/>
          <w:szCs w:val="14"/>
        </w:rPr>
        <w:t xml:space="preserve"> Building Products</w:t>
      </w:r>
    </w:p>
    <w:p w:rsidR="00A960B2" w:rsidRPr="00A960B2" w:rsidRDefault="00A960B2" w:rsidP="00A960B2">
      <w:pPr>
        <w:rPr>
          <w:rFonts w:ascii="Calibri" w:hAnsi="Calibri"/>
          <w:sz w:val="14"/>
          <w:szCs w:val="14"/>
        </w:rPr>
      </w:pPr>
      <w:r w:rsidRPr="00A960B2">
        <w:rPr>
          <w:rFonts w:ascii="Calibri" w:hAnsi="Calibri"/>
          <w:sz w:val="14"/>
          <w:szCs w:val="14"/>
        </w:rPr>
        <w:t>Quad-Lock Building Systems Ltd.</w:t>
      </w:r>
    </w:p>
    <w:p w:rsidR="00A960B2" w:rsidRPr="00A960B2" w:rsidRDefault="00A960B2" w:rsidP="00A960B2">
      <w:pPr>
        <w:rPr>
          <w:rFonts w:ascii="Calibri" w:hAnsi="Calibri"/>
          <w:sz w:val="14"/>
          <w:szCs w:val="14"/>
        </w:rPr>
      </w:pPr>
      <w:r w:rsidRPr="00A960B2">
        <w:rPr>
          <w:rFonts w:ascii="Calibri" w:hAnsi="Calibri"/>
          <w:sz w:val="14"/>
          <w:szCs w:val="14"/>
        </w:rPr>
        <w:t>RAPAC, LP</w:t>
      </w:r>
    </w:p>
    <w:p w:rsidR="00A960B2" w:rsidRPr="00A960B2" w:rsidRDefault="00A960B2" w:rsidP="00A960B2">
      <w:pPr>
        <w:rPr>
          <w:rFonts w:ascii="Calibri" w:hAnsi="Calibri"/>
          <w:sz w:val="14"/>
          <w:szCs w:val="14"/>
        </w:rPr>
      </w:pPr>
      <w:proofErr w:type="gramStart"/>
      <w:r w:rsidRPr="00A960B2">
        <w:rPr>
          <w:rFonts w:ascii="Calibri" w:hAnsi="Calibri"/>
          <w:sz w:val="14"/>
          <w:szCs w:val="14"/>
        </w:rPr>
        <w:t>Riemschneider Recycling &amp; Plastics, Inc.</w:t>
      </w:r>
      <w:proofErr w:type="gramEnd"/>
    </w:p>
    <w:p w:rsidR="00A960B2" w:rsidRPr="00A960B2" w:rsidRDefault="00A960B2" w:rsidP="00A960B2">
      <w:pPr>
        <w:rPr>
          <w:rFonts w:ascii="Calibri" w:hAnsi="Calibri"/>
          <w:sz w:val="14"/>
          <w:szCs w:val="14"/>
        </w:rPr>
      </w:pPr>
      <w:proofErr w:type="spellStart"/>
      <w:r w:rsidRPr="00A960B2">
        <w:rPr>
          <w:rFonts w:ascii="Calibri" w:hAnsi="Calibri"/>
          <w:sz w:val="14"/>
          <w:szCs w:val="14"/>
        </w:rPr>
        <w:lastRenderedPageBreak/>
        <w:t>Sebright</w:t>
      </w:r>
      <w:proofErr w:type="spellEnd"/>
      <w:r w:rsidRPr="00A960B2">
        <w:rPr>
          <w:rFonts w:ascii="Calibri" w:hAnsi="Calibri"/>
          <w:sz w:val="14"/>
          <w:szCs w:val="14"/>
        </w:rPr>
        <w:t xml:space="preserve"> Products, Inc.</w:t>
      </w:r>
    </w:p>
    <w:p w:rsidR="00A960B2" w:rsidRPr="00A960B2" w:rsidRDefault="00A960B2" w:rsidP="00A960B2">
      <w:pPr>
        <w:rPr>
          <w:rFonts w:ascii="Calibri" w:hAnsi="Calibri"/>
          <w:sz w:val="14"/>
          <w:szCs w:val="14"/>
        </w:rPr>
      </w:pPr>
      <w:r w:rsidRPr="00A960B2">
        <w:rPr>
          <w:rFonts w:ascii="Calibri" w:hAnsi="Calibri"/>
          <w:sz w:val="14"/>
          <w:szCs w:val="14"/>
        </w:rPr>
        <w:t>Shell Chemical LP</w:t>
      </w:r>
    </w:p>
    <w:p w:rsidR="00A960B2" w:rsidRPr="00A960B2" w:rsidRDefault="00A960B2" w:rsidP="00A960B2">
      <w:pPr>
        <w:rPr>
          <w:rFonts w:ascii="Calibri" w:hAnsi="Calibri"/>
          <w:sz w:val="14"/>
          <w:szCs w:val="14"/>
        </w:rPr>
      </w:pPr>
      <w:r w:rsidRPr="00A960B2">
        <w:rPr>
          <w:rFonts w:ascii="Calibri" w:hAnsi="Calibri"/>
          <w:sz w:val="14"/>
          <w:szCs w:val="14"/>
        </w:rPr>
        <w:t>Shelter Enterprises, Inc.</w:t>
      </w:r>
    </w:p>
    <w:p w:rsidR="00A960B2" w:rsidRPr="00A960B2" w:rsidRDefault="00A960B2" w:rsidP="00A960B2">
      <w:pPr>
        <w:rPr>
          <w:rFonts w:ascii="Calibri" w:hAnsi="Calibri"/>
          <w:sz w:val="14"/>
          <w:szCs w:val="14"/>
        </w:rPr>
      </w:pPr>
      <w:r w:rsidRPr="00A960B2">
        <w:rPr>
          <w:rFonts w:ascii="Calibri" w:hAnsi="Calibri"/>
          <w:sz w:val="14"/>
          <w:szCs w:val="14"/>
        </w:rPr>
        <w:t>Solid Green Systems</w:t>
      </w:r>
    </w:p>
    <w:p w:rsidR="00A960B2" w:rsidRPr="00A960B2" w:rsidRDefault="00A960B2" w:rsidP="00A960B2">
      <w:pPr>
        <w:rPr>
          <w:rFonts w:ascii="Calibri" w:hAnsi="Calibri"/>
          <w:sz w:val="14"/>
          <w:szCs w:val="14"/>
        </w:rPr>
      </w:pPr>
      <w:r w:rsidRPr="00A960B2">
        <w:rPr>
          <w:rFonts w:ascii="Calibri" w:hAnsi="Calibri"/>
          <w:sz w:val="14"/>
          <w:szCs w:val="14"/>
        </w:rPr>
        <w:t>Sonoco Protective Solutions</w:t>
      </w:r>
    </w:p>
    <w:p w:rsidR="00A960B2" w:rsidRPr="00A960B2" w:rsidRDefault="00A960B2" w:rsidP="00A960B2">
      <w:pPr>
        <w:rPr>
          <w:rFonts w:ascii="Calibri" w:hAnsi="Calibri"/>
          <w:sz w:val="14"/>
          <w:szCs w:val="14"/>
        </w:rPr>
      </w:pPr>
      <w:proofErr w:type="spellStart"/>
      <w:r w:rsidRPr="00A960B2">
        <w:rPr>
          <w:rFonts w:ascii="Calibri" w:hAnsi="Calibri"/>
          <w:sz w:val="14"/>
          <w:szCs w:val="14"/>
        </w:rPr>
        <w:t>Steves</w:t>
      </w:r>
      <w:proofErr w:type="spellEnd"/>
      <w:r w:rsidRPr="00A960B2">
        <w:rPr>
          <w:rFonts w:ascii="Calibri" w:hAnsi="Calibri"/>
          <w:sz w:val="14"/>
          <w:szCs w:val="14"/>
        </w:rPr>
        <w:t xml:space="preserve"> &amp; Sons</w:t>
      </w:r>
    </w:p>
    <w:p w:rsidR="00A960B2" w:rsidRPr="00A960B2" w:rsidRDefault="00A960B2" w:rsidP="00A960B2">
      <w:pPr>
        <w:rPr>
          <w:rFonts w:ascii="Calibri" w:hAnsi="Calibri"/>
          <w:sz w:val="14"/>
          <w:szCs w:val="14"/>
        </w:rPr>
      </w:pPr>
      <w:proofErr w:type="spellStart"/>
      <w:r w:rsidRPr="00A960B2">
        <w:rPr>
          <w:rFonts w:ascii="Calibri" w:hAnsi="Calibri"/>
          <w:sz w:val="14"/>
          <w:szCs w:val="14"/>
        </w:rPr>
        <w:t>Styrotek</w:t>
      </w:r>
      <w:proofErr w:type="spellEnd"/>
      <w:r w:rsidRPr="00A960B2">
        <w:rPr>
          <w:rFonts w:ascii="Calibri" w:hAnsi="Calibri"/>
          <w:sz w:val="14"/>
          <w:szCs w:val="14"/>
        </w:rPr>
        <w:t xml:space="preserve"> Inc.</w:t>
      </w:r>
    </w:p>
    <w:p w:rsidR="00A960B2" w:rsidRPr="00A960B2" w:rsidRDefault="00A960B2" w:rsidP="00A960B2">
      <w:pPr>
        <w:rPr>
          <w:rFonts w:ascii="Calibri" w:hAnsi="Calibri"/>
          <w:sz w:val="14"/>
          <w:szCs w:val="14"/>
        </w:rPr>
      </w:pPr>
      <w:r w:rsidRPr="00A960B2">
        <w:rPr>
          <w:rFonts w:ascii="Calibri" w:hAnsi="Calibri"/>
          <w:sz w:val="14"/>
          <w:szCs w:val="14"/>
        </w:rPr>
        <w:t>Takashima U.S.A., Inc.</w:t>
      </w:r>
    </w:p>
    <w:p w:rsidR="00A960B2" w:rsidRPr="00A960B2" w:rsidRDefault="00A960B2" w:rsidP="00A960B2">
      <w:pPr>
        <w:rPr>
          <w:rFonts w:ascii="Calibri" w:hAnsi="Calibri"/>
          <w:sz w:val="14"/>
          <w:szCs w:val="14"/>
        </w:rPr>
      </w:pPr>
      <w:r w:rsidRPr="00A960B2">
        <w:rPr>
          <w:rFonts w:ascii="Calibri" w:hAnsi="Calibri"/>
          <w:sz w:val="14"/>
          <w:szCs w:val="14"/>
        </w:rPr>
        <w:lastRenderedPageBreak/>
        <w:t>TEC Associates</w:t>
      </w:r>
    </w:p>
    <w:p w:rsidR="00A960B2" w:rsidRPr="00A960B2" w:rsidRDefault="00A960B2" w:rsidP="00A960B2">
      <w:pPr>
        <w:rPr>
          <w:rFonts w:ascii="Calibri" w:hAnsi="Calibri"/>
          <w:sz w:val="14"/>
          <w:szCs w:val="14"/>
        </w:rPr>
      </w:pPr>
      <w:proofErr w:type="spellStart"/>
      <w:r w:rsidRPr="00A960B2">
        <w:rPr>
          <w:rFonts w:ascii="Calibri" w:hAnsi="Calibri"/>
          <w:sz w:val="14"/>
          <w:szCs w:val="14"/>
        </w:rPr>
        <w:t>ThermaFoam</w:t>
      </w:r>
      <w:proofErr w:type="spellEnd"/>
      <w:r w:rsidRPr="00A960B2">
        <w:rPr>
          <w:rFonts w:ascii="Calibri" w:hAnsi="Calibri"/>
          <w:sz w:val="14"/>
          <w:szCs w:val="14"/>
        </w:rPr>
        <w:t>, LP</w:t>
      </w:r>
    </w:p>
    <w:p w:rsidR="00A960B2" w:rsidRPr="00A960B2" w:rsidRDefault="00A960B2" w:rsidP="00A960B2">
      <w:pPr>
        <w:rPr>
          <w:rFonts w:ascii="Calibri" w:hAnsi="Calibri"/>
          <w:sz w:val="14"/>
          <w:szCs w:val="14"/>
        </w:rPr>
      </w:pPr>
      <w:r w:rsidRPr="00A960B2">
        <w:rPr>
          <w:rFonts w:ascii="Calibri" w:hAnsi="Calibri"/>
          <w:sz w:val="14"/>
          <w:szCs w:val="14"/>
        </w:rPr>
        <w:t>Thermal Foams, Inc.</w:t>
      </w:r>
    </w:p>
    <w:p w:rsidR="00A960B2" w:rsidRPr="00A960B2" w:rsidRDefault="00A960B2" w:rsidP="00A960B2">
      <w:pPr>
        <w:rPr>
          <w:rFonts w:ascii="Calibri" w:hAnsi="Calibri"/>
          <w:sz w:val="14"/>
          <w:szCs w:val="14"/>
        </w:rPr>
      </w:pPr>
      <w:proofErr w:type="spellStart"/>
      <w:r w:rsidRPr="00A960B2">
        <w:rPr>
          <w:rFonts w:ascii="Calibri" w:hAnsi="Calibri"/>
          <w:sz w:val="14"/>
          <w:szCs w:val="14"/>
        </w:rPr>
        <w:t>Truefoam</w:t>
      </w:r>
      <w:proofErr w:type="spellEnd"/>
      <w:r w:rsidRPr="00A960B2">
        <w:rPr>
          <w:rFonts w:ascii="Calibri" w:hAnsi="Calibri"/>
          <w:sz w:val="14"/>
          <w:szCs w:val="14"/>
        </w:rPr>
        <w:t xml:space="preserve"> Limited</w:t>
      </w:r>
    </w:p>
    <w:p w:rsidR="00A960B2" w:rsidRPr="00A960B2" w:rsidRDefault="00A960B2" w:rsidP="00A960B2">
      <w:pPr>
        <w:rPr>
          <w:rFonts w:ascii="Calibri" w:hAnsi="Calibri"/>
          <w:sz w:val="14"/>
          <w:szCs w:val="14"/>
        </w:rPr>
      </w:pPr>
      <w:r w:rsidRPr="00A960B2">
        <w:rPr>
          <w:rFonts w:ascii="Calibri" w:hAnsi="Calibri"/>
          <w:sz w:val="14"/>
          <w:szCs w:val="14"/>
        </w:rPr>
        <w:t>Versa-Tech, Inc.</w:t>
      </w:r>
    </w:p>
    <w:p w:rsidR="00A960B2" w:rsidRPr="00A960B2" w:rsidRDefault="00A960B2" w:rsidP="00A960B2">
      <w:pPr>
        <w:shd w:val="clear" w:color="auto" w:fill="FFFFFF"/>
        <w:rPr>
          <w:rFonts w:ascii="Calibri" w:hAnsi="Calibri"/>
          <w:sz w:val="14"/>
          <w:szCs w:val="14"/>
        </w:rPr>
      </w:pPr>
      <w:r w:rsidRPr="00A960B2">
        <w:rPr>
          <w:rFonts w:ascii="Calibri" w:hAnsi="Calibri"/>
          <w:sz w:val="14"/>
          <w:szCs w:val="14"/>
        </w:rPr>
        <w:t>Zimmermann Management Solutions, LLC</w:t>
      </w:r>
    </w:p>
    <w:p w:rsidR="00A960B2" w:rsidRDefault="00A960B2" w:rsidP="00E313C7">
      <w:pPr>
        <w:shd w:val="clear" w:color="auto" w:fill="FFFFFF"/>
        <w:rPr>
          <w:rFonts w:ascii="Calibri" w:hAnsi="Calibri"/>
        </w:rPr>
        <w:sectPr w:rsidR="00A960B2" w:rsidSect="00A960B2">
          <w:type w:val="continuous"/>
          <w:pgSz w:w="12240" w:h="15840"/>
          <w:pgMar w:top="1440" w:right="1440" w:bottom="1440" w:left="1440" w:header="720" w:footer="720" w:gutter="0"/>
          <w:cols w:num="3" w:space="720"/>
          <w:docGrid w:linePitch="360"/>
        </w:sectPr>
      </w:pPr>
    </w:p>
    <w:p w:rsidR="00A960B2" w:rsidRDefault="00A960B2" w:rsidP="00E313C7">
      <w:pPr>
        <w:shd w:val="clear" w:color="auto" w:fill="FFFFFF"/>
        <w:rPr>
          <w:rFonts w:ascii="Calibri" w:hAnsi="Calibri"/>
        </w:rPr>
      </w:pPr>
    </w:p>
    <w:p w:rsidR="00C0595B" w:rsidRDefault="00514A0D" w:rsidP="00E313C7">
      <w:pPr>
        <w:shd w:val="clear" w:color="auto" w:fill="FFFFFF"/>
        <w:rPr>
          <w:rFonts w:ascii="Calibri" w:hAnsi="Calibri"/>
        </w:rPr>
      </w:pPr>
      <w:r>
        <w:rPr>
          <w:rFonts w:ascii="Calibri" w:hAnsi="Calibri"/>
          <w:noProof/>
        </w:rPr>
        <w:pict>
          <v:shapetype id="_x0000_t32" coordsize="21600,21600" o:spt="32" o:oned="t" path="m,l21600,21600e" filled="f">
            <v:path arrowok="t" fillok="f" o:connecttype="none"/>
            <o:lock v:ext="edit" shapetype="t"/>
          </v:shapetype>
          <v:shape id="_x0000_s1051" type="#_x0000_t32" style="position:absolute;margin-left:-2pt;margin-top:8.8pt;width:467pt;height:.5pt;flip:y;z-index:251678720" o:connectortype="straight"/>
        </w:pict>
      </w:r>
    </w:p>
    <w:p w:rsidR="00C0595B" w:rsidRPr="0008295D" w:rsidRDefault="0008295D" w:rsidP="00E313C7">
      <w:pPr>
        <w:shd w:val="clear" w:color="auto" w:fill="FFFFFF"/>
        <w:rPr>
          <w:rFonts w:ascii="Calibri" w:hAnsi="Calibri"/>
          <w:sz w:val="16"/>
          <w:szCs w:val="16"/>
        </w:rPr>
      </w:pPr>
      <w:r w:rsidRPr="0008295D">
        <w:rPr>
          <w:rFonts w:ascii="Calibri" w:hAnsi="Calibri"/>
          <w:vertAlign w:val="superscript"/>
        </w:rPr>
        <w:t>©</w:t>
      </w:r>
      <w:r w:rsidRPr="0008295D">
        <w:rPr>
          <w:rFonts w:ascii="Calibri" w:hAnsi="Calibri"/>
          <w:sz w:val="16"/>
          <w:szCs w:val="16"/>
        </w:rPr>
        <w:t>Copyright 2014 EPS Industry Alliance</w:t>
      </w:r>
    </w:p>
    <w:p w:rsidR="0008295D" w:rsidRPr="0008295D" w:rsidRDefault="0008295D" w:rsidP="00E313C7">
      <w:pPr>
        <w:shd w:val="clear" w:color="auto" w:fill="FFFFFF"/>
        <w:rPr>
          <w:rFonts w:ascii="Calibri" w:hAnsi="Calibri"/>
          <w:sz w:val="16"/>
          <w:szCs w:val="16"/>
        </w:rPr>
      </w:pPr>
      <w:r w:rsidRPr="0008295D">
        <w:rPr>
          <w:rFonts w:ascii="Calibri" w:hAnsi="Calibri"/>
          <w:sz w:val="16"/>
          <w:szCs w:val="16"/>
        </w:rPr>
        <w:t>The information contained herein is provided without any express or implied warranty as to its truthfulness or accuracy. The EPS Industry Alliance does not endorse the products or processes of any individual manufacturer or recycler.</w:t>
      </w:r>
    </w:p>
    <w:p w:rsidR="0008295D" w:rsidRPr="00C0595B" w:rsidRDefault="0008295D" w:rsidP="00E313C7">
      <w:pPr>
        <w:shd w:val="clear" w:color="auto" w:fill="FFFFFF"/>
        <w:rPr>
          <w:rFonts w:ascii="Calibri" w:hAnsi="Calibri"/>
        </w:rPr>
      </w:pPr>
    </w:p>
    <w:p w:rsidR="00876078" w:rsidRPr="00E313C7" w:rsidRDefault="00876078" w:rsidP="00E313C7">
      <w:pPr>
        <w:shd w:val="clear" w:color="auto" w:fill="FFFFFF"/>
        <w:rPr>
          <w:rFonts w:ascii="Calibri" w:hAnsi="Calibri"/>
        </w:rPr>
      </w:pPr>
    </w:p>
    <w:p w:rsidR="00514A0D" w:rsidRDefault="00514A0D">
      <w:pPr>
        <w:spacing w:after="200" w:line="276" w:lineRule="auto"/>
        <w:rPr>
          <w:rFonts w:ascii="Calibri" w:hAnsi="Calibri"/>
          <w:b/>
          <w:i/>
          <w:color w:val="404040" w:themeColor="text1" w:themeTint="BF"/>
        </w:rPr>
      </w:pPr>
      <w:r>
        <w:rPr>
          <w:rFonts w:ascii="Calibri" w:hAnsi="Calibri"/>
          <w:b/>
          <w:i/>
          <w:color w:val="404040" w:themeColor="text1" w:themeTint="BF"/>
        </w:rPr>
        <w:br w:type="page"/>
      </w:r>
    </w:p>
    <w:p w:rsidR="005060B0" w:rsidRDefault="00C0595B" w:rsidP="00E313C7">
      <w:pPr>
        <w:shd w:val="clear" w:color="auto" w:fill="FFFFFF"/>
        <w:rPr>
          <w:rFonts w:ascii="Calibri" w:hAnsi="Calibri"/>
          <w:b/>
          <w:i/>
          <w:color w:val="C00000"/>
        </w:rPr>
      </w:pPr>
      <w:r w:rsidRPr="00514A0D">
        <w:rPr>
          <w:rFonts w:ascii="Calibri" w:hAnsi="Calibri"/>
          <w:b/>
          <w:i/>
          <w:color w:val="C00000"/>
        </w:rPr>
        <w:lastRenderedPageBreak/>
        <w:t>Additional photos/logos for brochure design:</w:t>
      </w:r>
    </w:p>
    <w:p w:rsidR="00514A0D" w:rsidRPr="00514A0D" w:rsidRDefault="00514A0D" w:rsidP="00E313C7">
      <w:pPr>
        <w:shd w:val="clear" w:color="auto" w:fill="FFFFFF"/>
        <w:rPr>
          <w:rFonts w:ascii="Calibri" w:hAnsi="Calibri"/>
          <w:color w:val="C00000"/>
        </w:rPr>
      </w:pPr>
    </w:p>
    <w:p w:rsidR="00C0595B" w:rsidRPr="00C0595B" w:rsidRDefault="00C0595B" w:rsidP="00E313C7">
      <w:pPr>
        <w:shd w:val="clear" w:color="auto" w:fill="FFFFFF"/>
        <w:rPr>
          <w:rFonts w:ascii="Calibri" w:hAnsi="Calibri"/>
          <w:color w:val="404040" w:themeColor="text1" w:themeTint="BF"/>
        </w:rPr>
      </w:pPr>
      <w:r>
        <w:rPr>
          <w:rFonts w:ascii="Calibri" w:hAnsi="Calibri"/>
          <w:noProof/>
          <w:color w:val="404040" w:themeColor="text1" w:themeTint="BF"/>
        </w:rPr>
        <w:drawing>
          <wp:inline distT="0" distB="0" distL="0" distR="0">
            <wp:extent cx="1930400" cy="2586932"/>
            <wp:effectExtent l="19050" t="0" r="0" b="0"/>
            <wp:docPr id="12" name="Picture 9" descr="EPS Recyclin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S Recycling 3.jpg"/>
                    <pic:cNvPicPr/>
                  </pic:nvPicPr>
                  <pic:blipFill>
                    <a:blip r:embed="rId23" cstate="print"/>
                    <a:stretch>
                      <a:fillRect/>
                    </a:stretch>
                  </pic:blipFill>
                  <pic:spPr>
                    <a:xfrm>
                      <a:off x="0" y="0"/>
                      <a:ext cx="1930400" cy="2586932"/>
                    </a:xfrm>
                    <a:prstGeom prst="rect">
                      <a:avLst/>
                    </a:prstGeom>
                  </pic:spPr>
                </pic:pic>
              </a:graphicData>
            </a:graphic>
          </wp:inline>
        </w:drawing>
      </w:r>
      <w:r>
        <w:rPr>
          <w:rFonts w:ascii="Calibri" w:hAnsi="Calibri"/>
          <w:noProof/>
          <w:color w:val="404040" w:themeColor="text1" w:themeTint="BF"/>
        </w:rPr>
        <w:drawing>
          <wp:inline distT="0" distB="0" distL="0" distR="0">
            <wp:extent cx="3225800" cy="1898604"/>
            <wp:effectExtent l="19050" t="0" r="0" b="0"/>
            <wp:docPr id="13" name="Picture 12" descr="1454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549_1.jpg"/>
                    <pic:cNvPicPr/>
                  </pic:nvPicPr>
                  <pic:blipFill>
                    <a:blip r:embed="rId24" cstate="print"/>
                    <a:stretch>
                      <a:fillRect/>
                    </a:stretch>
                  </pic:blipFill>
                  <pic:spPr>
                    <a:xfrm>
                      <a:off x="0" y="0"/>
                      <a:ext cx="3225800" cy="1898604"/>
                    </a:xfrm>
                    <a:prstGeom prst="rect">
                      <a:avLst/>
                    </a:prstGeom>
                  </pic:spPr>
                </pic:pic>
              </a:graphicData>
            </a:graphic>
          </wp:inline>
        </w:drawing>
      </w:r>
      <w:r>
        <w:rPr>
          <w:rFonts w:ascii="Calibri" w:hAnsi="Calibri"/>
          <w:noProof/>
          <w:color w:val="404040" w:themeColor="text1" w:themeTint="BF"/>
        </w:rPr>
        <w:drawing>
          <wp:inline distT="0" distB="0" distL="0" distR="0">
            <wp:extent cx="2743200" cy="2743200"/>
            <wp:effectExtent l="19050" t="0" r="0" b="0"/>
            <wp:docPr id="14" name="Picture 13" descr="ESP_RecyclingLogos_G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_RecyclingLogos_Green.jpg"/>
                    <pic:cNvPicPr/>
                  </pic:nvPicPr>
                  <pic:blipFill>
                    <a:blip r:embed="rId25" cstate="print"/>
                    <a:stretch>
                      <a:fillRect/>
                    </a:stretch>
                  </pic:blipFill>
                  <pic:spPr>
                    <a:xfrm>
                      <a:off x="0" y="0"/>
                      <a:ext cx="2743200" cy="2743200"/>
                    </a:xfrm>
                    <a:prstGeom prst="rect">
                      <a:avLst/>
                    </a:prstGeom>
                  </pic:spPr>
                </pic:pic>
              </a:graphicData>
            </a:graphic>
          </wp:inline>
        </w:drawing>
      </w:r>
      <w:r>
        <w:rPr>
          <w:rFonts w:ascii="Calibri" w:hAnsi="Calibri"/>
          <w:noProof/>
          <w:color w:val="404040" w:themeColor="text1" w:themeTint="BF"/>
        </w:rPr>
        <w:drawing>
          <wp:inline distT="0" distB="0" distL="0" distR="0">
            <wp:extent cx="2849886" cy="2478029"/>
            <wp:effectExtent l="19050" t="0" r="7614" b="0"/>
            <wp:docPr id="15" name="Picture 14" descr="Box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x 2.png"/>
                    <pic:cNvPicPr/>
                  </pic:nvPicPr>
                  <pic:blipFill>
                    <a:blip r:embed="rId26" cstate="print"/>
                    <a:stretch>
                      <a:fillRect/>
                    </a:stretch>
                  </pic:blipFill>
                  <pic:spPr>
                    <a:xfrm>
                      <a:off x="0" y="0"/>
                      <a:ext cx="2849886" cy="2478029"/>
                    </a:xfrm>
                    <a:prstGeom prst="rect">
                      <a:avLst/>
                    </a:prstGeom>
                  </pic:spPr>
                </pic:pic>
              </a:graphicData>
            </a:graphic>
          </wp:inline>
        </w:drawing>
      </w:r>
      <w:r>
        <w:rPr>
          <w:rFonts w:ascii="Calibri" w:hAnsi="Calibri"/>
          <w:noProof/>
          <w:color w:val="404040" w:themeColor="text1" w:themeTint="BF"/>
        </w:rPr>
        <w:drawing>
          <wp:inline distT="0" distB="0" distL="0" distR="0">
            <wp:extent cx="4215393" cy="2447549"/>
            <wp:effectExtent l="0" t="0" r="0" b="0"/>
            <wp:docPr id="16" name="Picture 15" descr="EPSIA_singlelogo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SIA_singlelogo_transparent.png"/>
                    <pic:cNvPicPr/>
                  </pic:nvPicPr>
                  <pic:blipFill>
                    <a:blip r:embed="rId27" cstate="print"/>
                    <a:stretch>
                      <a:fillRect/>
                    </a:stretch>
                  </pic:blipFill>
                  <pic:spPr>
                    <a:xfrm>
                      <a:off x="0" y="0"/>
                      <a:ext cx="4215393" cy="2447549"/>
                    </a:xfrm>
                    <a:prstGeom prst="rect">
                      <a:avLst/>
                    </a:prstGeom>
                  </pic:spPr>
                </pic:pic>
              </a:graphicData>
            </a:graphic>
          </wp:inline>
        </w:drawing>
      </w:r>
    </w:p>
    <w:sectPr w:rsidR="00C0595B" w:rsidRPr="00C0595B" w:rsidSect="00A960B2">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7842" w:rsidRPr="00ED159A" w:rsidRDefault="00EF7842" w:rsidP="00C867D8">
      <w:pPr>
        <w:rPr>
          <w:rFonts w:ascii="Arial" w:hAnsi="Arial"/>
          <w:sz w:val="18"/>
        </w:rPr>
      </w:pPr>
      <w:r>
        <w:separator/>
      </w:r>
    </w:p>
  </w:endnote>
  <w:endnote w:type="continuationSeparator" w:id="0">
    <w:p w:rsidR="00EF7842" w:rsidRPr="00ED159A" w:rsidRDefault="00EF7842" w:rsidP="00C867D8">
      <w:pPr>
        <w:rPr>
          <w:rFonts w:ascii="Arial" w:hAnsi="Arial"/>
          <w:sz w:val="18"/>
        </w:rPr>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ZapfCalligr BT">
    <w:altName w:val="Times New Roman"/>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7842" w:rsidRPr="00ED159A" w:rsidRDefault="00EF7842" w:rsidP="00C867D8">
      <w:pPr>
        <w:rPr>
          <w:rFonts w:ascii="Arial" w:hAnsi="Arial"/>
          <w:sz w:val="18"/>
        </w:rPr>
      </w:pPr>
      <w:r>
        <w:separator/>
      </w:r>
    </w:p>
  </w:footnote>
  <w:footnote w:type="continuationSeparator" w:id="0">
    <w:p w:rsidR="00EF7842" w:rsidRPr="00ED159A" w:rsidRDefault="00EF7842" w:rsidP="00C867D8">
      <w:pPr>
        <w:rPr>
          <w:rFonts w:ascii="Arial" w:hAnsi="Arial"/>
          <w:sz w:val="18"/>
        </w:rPr>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842" w:rsidRDefault="00EF7842" w:rsidP="00C867D8">
    <w:pPr>
      <w:pStyle w:val="Header"/>
      <w:jc w:val="center"/>
    </w:pPr>
  </w:p>
  <w:p w:rsidR="00EF7842" w:rsidRDefault="00EF784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4DA30BE"/>
    <w:multiLevelType w:val="hybridMultilevel"/>
    <w:tmpl w:val="4B50C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20"/>
  <w:characterSpacingControl w:val="doNotCompress"/>
  <w:hdrShapeDefaults>
    <o:shapedefaults v:ext="edit" spidmax="3074"/>
  </w:hdrShapeDefaults>
  <w:footnotePr>
    <w:footnote w:id="-1"/>
    <w:footnote w:id="0"/>
  </w:footnotePr>
  <w:endnotePr>
    <w:endnote w:id="-1"/>
    <w:endnote w:id="0"/>
  </w:endnotePr>
  <w:compat/>
  <w:rsids>
    <w:rsidRoot w:val="005060B0"/>
    <w:rsid w:val="00035F30"/>
    <w:rsid w:val="0008295D"/>
    <w:rsid w:val="00173E0C"/>
    <w:rsid w:val="001C213A"/>
    <w:rsid w:val="00326BE2"/>
    <w:rsid w:val="003F2562"/>
    <w:rsid w:val="00483AFE"/>
    <w:rsid w:val="005060B0"/>
    <w:rsid w:val="00514A0D"/>
    <w:rsid w:val="005218C1"/>
    <w:rsid w:val="00541934"/>
    <w:rsid w:val="005C0CF0"/>
    <w:rsid w:val="0071557B"/>
    <w:rsid w:val="00876078"/>
    <w:rsid w:val="009A0B8F"/>
    <w:rsid w:val="00A960B2"/>
    <w:rsid w:val="00AC172E"/>
    <w:rsid w:val="00AE3AA2"/>
    <w:rsid w:val="00B42ADF"/>
    <w:rsid w:val="00B43768"/>
    <w:rsid w:val="00C0595B"/>
    <w:rsid w:val="00C867D8"/>
    <w:rsid w:val="00CF1424"/>
    <w:rsid w:val="00E313C7"/>
    <w:rsid w:val="00E87CB2"/>
    <w:rsid w:val="00EB5F85"/>
    <w:rsid w:val="00EF7842"/>
    <w:rsid w:val="00FA4CF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2" type="connector" idref="#_x0000_s105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5F30"/>
    <w:pPr>
      <w:spacing w:after="0" w:line="240" w:lineRule="auto"/>
    </w:pPr>
    <w:rPr>
      <w:rFonts w:ascii="Times New Roman" w:eastAsia="Times New Roman" w:hAnsi="Times New Roman" w:cs="Times New Roman"/>
      <w:color w:val="000000"/>
      <w:kern w:val="28"/>
      <w:sz w:val="20"/>
      <w:szCs w:val="20"/>
    </w:rPr>
  </w:style>
  <w:style w:type="paragraph" w:styleId="Heading1">
    <w:name w:val="heading 1"/>
    <w:basedOn w:val="Normal"/>
    <w:next w:val="Normal"/>
    <w:link w:val="Heading1Char"/>
    <w:uiPriority w:val="9"/>
    <w:qFormat/>
    <w:rsid w:val="00035F3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35F30"/>
    <w:rPr>
      <w:rFonts w:asciiTheme="majorHAnsi" w:eastAsiaTheme="majorEastAsia" w:hAnsiTheme="majorHAnsi" w:cstheme="majorBidi"/>
      <w:b/>
      <w:bCs/>
      <w:color w:val="365F91" w:themeColor="accent1" w:themeShade="BF"/>
      <w:kern w:val="28"/>
      <w:sz w:val="28"/>
      <w:szCs w:val="28"/>
    </w:rPr>
  </w:style>
  <w:style w:type="paragraph" w:styleId="BodyText">
    <w:name w:val="Body Text"/>
    <w:link w:val="BodyTextChar"/>
    <w:uiPriority w:val="99"/>
    <w:unhideWhenUsed/>
    <w:rsid w:val="00035F30"/>
    <w:pPr>
      <w:spacing w:before="120" w:after="0" w:line="240" w:lineRule="auto"/>
      <w:jc w:val="both"/>
    </w:pPr>
    <w:rPr>
      <w:rFonts w:ascii="ZapfCalligr BT" w:eastAsia="Times New Roman" w:hAnsi="ZapfCalligr BT" w:cs="Times New Roman"/>
      <w:color w:val="000000"/>
      <w:kern w:val="23"/>
      <w:sz w:val="23"/>
      <w:szCs w:val="23"/>
    </w:rPr>
  </w:style>
  <w:style w:type="character" w:customStyle="1" w:styleId="BodyTextChar">
    <w:name w:val="Body Text Char"/>
    <w:basedOn w:val="DefaultParagraphFont"/>
    <w:link w:val="BodyText"/>
    <w:uiPriority w:val="99"/>
    <w:rsid w:val="00035F30"/>
    <w:rPr>
      <w:rFonts w:ascii="ZapfCalligr BT" w:eastAsia="Times New Roman" w:hAnsi="ZapfCalligr BT" w:cs="Times New Roman"/>
      <w:color w:val="000000"/>
      <w:kern w:val="23"/>
      <w:sz w:val="23"/>
      <w:szCs w:val="23"/>
    </w:rPr>
  </w:style>
  <w:style w:type="paragraph" w:styleId="Header">
    <w:name w:val="header"/>
    <w:basedOn w:val="Normal"/>
    <w:link w:val="HeaderChar"/>
    <w:uiPriority w:val="99"/>
    <w:unhideWhenUsed/>
    <w:rsid w:val="00C867D8"/>
    <w:pPr>
      <w:tabs>
        <w:tab w:val="center" w:pos="4680"/>
        <w:tab w:val="right" w:pos="9360"/>
      </w:tabs>
    </w:pPr>
  </w:style>
  <w:style w:type="character" w:customStyle="1" w:styleId="HeaderChar">
    <w:name w:val="Header Char"/>
    <w:basedOn w:val="DefaultParagraphFont"/>
    <w:link w:val="Header"/>
    <w:uiPriority w:val="99"/>
    <w:rsid w:val="00C867D8"/>
    <w:rPr>
      <w:rFonts w:ascii="Times New Roman" w:eastAsia="Times New Roman" w:hAnsi="Times New Roman" w:cs="Times New Roman"/>
      <w:color w:val="000000"/>
      <w:kern w:val="28"/>
      <w:sz w:val="20"/>
      <w:szCs w:val="20"/>
    </w:rPr>
  </w:style>
  <w:style w:type="paragraph" w:styleId="Footer">
    <w:name w:val="footer"/>
    <w:basedOn w:val="Normal"/>
    <w:link w:val="FooterChar"/>
    <w:uiPriority w:val="99"/>
    <w:semiHidden/>
    <w:unhideWhenUsed/>
    <w:rsid w:val="00C867D8"/>
    <w:pPr>
      <w:tabs>
        <w:tab w:val="center" w:pos="4680"/>
        <w:tab w:val="right" w:pos="9360"/>
      </w:tabs>
    </w:pPr>
  </w:style>
  <w:style w:type="character" w:customStyle="1" w:styleId="FooterChar">
    <w:name w:val="Footer Char"/>
    <w:basedOn w:val="DefaultParagraphFont"/>
    <w:link w:val="Footer"/>
    <w:uiPriority w:val="99"/>
    <w:semiHidden/>
    <w:rsid w:val="00C867D8"/>
    <w:rPr>
      <w:rFonts w:ascii="Times New Roman" w:eastAsia="Times New Roman" w:hAnsi="Times New Roman" w:cs="Times New Roman"/>
      <w:color w:val="000000"/>
      <w:kern w:val="28"/>
      <w:sz w:val="20"/>
      <w:szCs w:val="20"/>
    </w:rPr>
  </w:style>
  <w:style w:type="paragraph" w:styleId="BalloonText">
    <w:name w:val="Balloon Text"/>
    <w:basedOn w:val="Normal"/>
    <w:link w:val="BalloonTextChar"/>
    <w:uiPriority w:val="99"/>
    <w:semiHidden/>
    <w:unhideWhenUsed/>
    <w:rsid w:val="00C867D8"/>
    <w:rPr>
      <w:rFonts w:ascii="Tahoma" w:hAnsi="Tahoma" w:cs="Tahoma"/>
      <w:sz w:val="16"/>
      <w:szCs w:val="16"/>
    </w:rPr>
  </w:style>
  <w:style w:type="character" w:customStyle="1" w:styleId="BalloonTextChar">
    <w:name w:val="Balloon Text Char"/>
    <w:basedOn w:val="DefaultParagraphFont"/>
    <w:link w:val="BalloonText"/>
    <w:uiPriority w:val="99"/>
    <w:semiHidden/>
    <w:rsid w:val="00C867D8"/>
    <w:rPr>
      <w:rFonts w:ascii="Tahoma" w:eastAsia="Times New Roman" w:hAnsi="Tahoma" w:cs="Tahoma"/>
      <w:color w:val="000000"/>
      <w:kern w:val="28"/>
      <w:sz w:val="16"/>
      <w:szCs w:val="16"/>
    </w:rPr>
  </w:style>
  <w:style w:type="table" w:styleId="TableGrid">
    <w:name w:val="Table Grid"/>
    <w:basedOn w:val="TableNormal"/>
    <w:uiPriority w:val="59"/>
    <w:rsid w:val="00E87CB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AE3AA2"/>
    <w:rPr>
      <w:strike w:val="0"/>
      <w:dstrike w:val="0"/>
      <w:color w:val="176F95"/>
      <w:u w:val="none"/>
      <w:effect w:val="none"/>
    </w:rPr>
  </w:style>
  <w:style w:type="character" w:customStyle="1" w:styleId="apple-converted-space">
    <w:name w:val="apple-converted-space"/>
    <w:basedOn w:val="DefaultParagraphFont"/>
    <w:rsid w:val="00AE3AA2"/>
  </w:style>
  <w:style w:type="paragraph" w:styleId="ListParagraph">
    <w:name w:val="List Paragraph"/>
    <w:basedOn w:val="Normal"/>
    <w:uiPriority w:val="34"/>
    <w:qFormat/>
    <w:rsid w:val="00AE3AA2"/>
    <w:pPr>
      <w:ind w:left="720"/>
      <w:contextualSpacing/>
    </w:pPr>
    <w:rPr>
      <w:rFonts w:asciiTheme="minorHAnsi" w:eastAsiaTheme="minorHAnsi" w:hAnsiTheme="minorHAnsi" w:cstheme="minorBidi"/>
      <w:color w:val="auto"/>
      <w:kern w:val="0"/>
      <w:sz w:val="22"/>
      <w:szCs w:val="22"/>
    </w:rPr>
  </w:style>
</w:styles>
</file>

<file path=word/webSettings.xml><?xml version="1.0" encoding="utf-8"?>
<w:webSettings xmlns:r="http://schemas.openxmlformats.org/officeDocument/2006/relationships" xmlns:w="http://schemas.openxmlformats.org/wordprocessingml/2006/main">
  <w:divs>
    <w:div w:id="217673927">
      <w:bodyDiv w:val="1"/>
      <w:marLeft w:val="0"/>
      <w:marRight w:val="0"/>
      <w:marTop w:val="0"/>
      <w:marBottom w:val="0"/>
      <w:divBdr>
        <w:top w:val="none" w:sz="0" w:space="0" w:color="auto"/>
        <w:left w:val="none" w:sz="0" w:space="0" w:color="auto"/>
        <w:bottom w:val="none" w:sz="0" w:space="0" w:color="auto"/>
        <w:right w:val="none" w:sz="0" w:space="0" w:color="auto"/>
      </w:divBdr>
    </w:div>
    <w:div w:id="948970801">
      <w:bodyDiv w:val="1"/>
      <w:marLeft w:val="0"/>
      <w:marRight w:val="0"/>
      <w:marTop w:val="0"/>
      <w:marBottom w:val="0"/>
      <w:divBdr>
        <w:top w:val="none" w:sz="0" w:space="0" w:color="auto"/>
        <w:left w:val="none" w:sz="0" w:space="0" w:color="auto"/>
        <w:bottom w:val="none" w:sz="0" w:space="0" w:color="auto"/>
        <w:right w:val="none" w:sz="0" w:space="0" w:color="auto"/>
      </w:divBdr>
    </w:div>
    <w:div w:id="975377634">
      <w:bodyDiv w:val="1"/>
      <w:marLeft w:val="0"/>
      <w:marRight w:val="0"/>
      <w:marTop w:val="0"/>
      <w:marBottom w:val="0"/>
      <w:divBdr>
        <w:top w:val="none" w:sz="0" w:space="0" w:color="auto"/>
        <w:left w:val="none" w:sz="0" w:space="0" w:color="auto"/>
        <w:bottom w:val="none" w:sz="0" w:space="0" w:color="auto"/>
        <w:right w:val="none" w:sz="0" w:space="0" w:color="auto"/>
      </w:divBdr>
    </w:div>
    <w:div w:id="1339771583">
      <w:bodyDiv w:val="1"/>
      <w:marLeft w:val="0"/>
      <w:marRight w:val="0"/>
      <w:marTop w:val="0"/>
      <w:marBottom w:val="0"/>
      <w:divBdr>
        <w:top w:val="none" w:sz="0" w:space="0" w:color="auto"/>
        <w:left w:val="none" w:sz="0" w:space="0" w:color="auto"/>
        <w:bottom w:val="none" w:sz="0" w:space="0" w:color="auto"/>
        <w:right w:val="none" w:sz="0" w:space="0" w:color="auto"/>
      </w:divBdr>
    </w:div>
    <w:div w:id="1917131761">
      <w:bodyDiv w:val="1"/>
      <w:marLeft w:val="0"/>
      <w:marRight w:val="0"/>
      <w:marTop w:val="0"/>
      <w:marBottom w:val="0"/>
      <w:divBdr>
        <w:top w:val="none" w:sz="0" w:space="0" w:color="auto"/>
        <w:left w:val="none" w:sz="0" w:space="0" w:color="auto"/>
        <w:bottom w:val="none" w:sz="0" w:space="0" w:color="auto"/>
        <w:right w:val="none" w:sz="0" w:space="0" w:color="auto"/>
      </w:divBdr>
    </w:div>
    <w:div w:id="2113157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3.xml"/><Relationship Id="rId18" Type="http://schemas.openxmlformats.org/officeDocument/2006/relationships/image" Target="media/image4.jpe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www.facebook.com/EPSRecycling" TargetMode="Externa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3.jpe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www.prc.org/" TargetMode="External"/><Relationship Id="rId23" Type="http://schemas.openxmlformats.org/officeDocument/2006/relationships/image" Target="media/image7.jpeg"/><Relationship Id="rId28"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hyperlink" Target="http://www.novachem.com/Pages/home.aspx" TargetMode="External"/><Relationship Id="rId22" Type="http://schemas.openxmlformats.org/officeDocument/2006/relationships/header" Target="header1.xml"/><Relationship Id="rId27" Type="http://schemas.openxmlformats.org/officeDocument/2006/relationships/image" Target="media/image1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manualLayout>
          <c:layoutTarget val="inner"/>
          <c:xMode val="edge"/>
          <c:yMode val="edge"/>
          <c:x val="0.11852861035422343"/>
          <c:y val="5.5350553505535076E-2"/>
          <c:w val="0.86920980926430536"/>
          <c:h val="0.73062730627306294"/>
        </c:manualLayout>
      </c:layout>
      <c:barChart>
        <c:barDir val="col"/>
        <c:grouping val="stacked"/>
        <c:ser>
          <c:idx val="0"/>
          <c:order val="0"/>
          <c:tx>
            <c:strRef>
              <c:f>Sheet1!$A$2</c:f>
              <c:strCache>
                <c:ptCount val="1"/>
              </c:strCache>
            </c:strRef>
          </c:tx>
          <c:spPr>
            <a:gradFill rotWithShape="0">
              <a:gsLst>
                <a:gs pos="0">
                  <a:srgbClr val="000080"/>
                </a:gs>
                <a:gs pos="100000">
                  <a:srgbClr val="9999FF"/>
                </a:gs>
              </a:gsLst>
              <a:lin ang="0" scaled="1"/>
            </a:gradFill>
            <a:ln w="12700">
              <a:solidFill>
                <a:srgbClr val="000000"/>
              </a:solidFill>
              <a:prstDash val="solid"/>
            </a:ln>
          </c:spPr>
          <c:dPt>
            <c:idx val="8"/>
            <c:spPr>
              <a:gradFill rotWithShape="0">
                <a:gsLst>
                  <a:gs pos="0">
                    <a:srgbClr val="000080"/>
                  </a:gs>
                  <a:gs pos="100000">
                    <a:srgbClr val="9999FF"/>
                  </a:gs>
                </a:gsLst>
                <a:lin ang="0" scaled="1"/>
              </a:gradFill>
              <a:ln w="12700">
                <a:solidFill>
                  <a:srgbClr val="000000"/>
                </a:solidFill>
                <a:prstDash val="solid"/>
              </a:ln>
            </c:spPr>
          </c:dPt>
          <c:dLbls>
            <c:dLbl>
              <c:idx val="5"/>
              <c:layout>
                <c:manualLayout>
                  <c:x val="-8.3482230845777466E-4"/>
                  <c:y val="9.6620904225686605E-3"/>
                </c:manualLayout>
              </c:layout>
              <c:dLblPos val="ctr"/>
              <c:showVal val="1"/>
            </c:dLbl>
            <c:dLbl>
              <c:idx val="10"/>
              <c:layout>
                <c:manualLayout>
                  <c:x val="-1.3588738803272037E-3"/>
                  <c:y val="6.3321696349198575E-3"/>
                </c:manualLayout>
              </c:layout>
              <c:dLblPos val="ctr"/>
              <c:showVal val="1"/>
            </c:dLbl>
            <c:dLbl>
              <c:idx val="11"/>
              <c:layout>
                <c:manualLayout>
                  <c:x val="-1.0122992998014784E-4"/>
                  <c:y val="1.92656950303636E-2"/>
                </c:manualLayout>
              </c:layout>
              <c:dLblPos val="ctr"/>
              <c:showVal val="1"/>
            </c:dLbl>
            <c:dLbl>
              <c:idx val="12"/>
              <c:layout>
                <c:manualLayout>
                  <c:x val="-2.0612491119021152E-4"/>
                  <c:y val="2.1751775059712698E-2"/>
                </c:manualLayout>
              </c:layout>
              <c:dLblPos val="ctr"/>
              <c:showVal val="1"/>
            </c:dLbl>
            <c:numFmt formatCode="0.0" sourceLinked="0"/>
            <c:spPr>
              <a:noFill/>
              <a:ln w="25400">
                <a:noFill/>
              </a:ln>
            </c:spPr>
            <c:txPr>
              <a:bodyPr/>
              <a:lstStyle/>
              <a:p>
                <a:pPr>
                  <a:defRPr sz="1200" b="1" i="0" u="none" strike="noStrike" baseline="0">
                    <a:solidFill>
                      <a:srgbClr val="000000"/>
                    </a:solidFill>
                    <a:latin typeface="Arial"/>
                    <a:ea typeface="Arial"/>
                    <a:cs typeface="Arial"/>
                  </a:defRPr>
                </a:pPr>
                <a:endParaRPr lang="en-US"/>
              </a:p>
            </c:txPr>
            <c:showVal val="1"/>
          </c:dLbls>
          <c:cat>
            <c:numRef>
              <c:f>Sheet1!$B$1:$N$1</c:f>
              <c:numCache>
                <c:formatCode>General</c:formatCode>
                <c:ptCount val="13"/>
                <c:pt idx="0">
                  <c:v>1990</c:v>
                </c:pt>
                <c:pt idx="1">
                  <c:v>1992</c:v>
                </c:pt>
                <c:pt idx="2">
                  <c:v>1994</c:v>
                </c:pt>
                <c:pt idx="3">
                  <c:v>1996</c:v>
                </c:pt>
                <c:pt idx="4">
                  <c:v>1998</c:v>
                </c:pt>
                <c:pt idx="5">
                  <c:v>2000</c:v>
                </c:pt>
                <c:pt idx="6">
                  <c:v>2002</c:v>
                </c:pt>
                <c:pt idx="7">
                  <c:v>2004</c:v>
                </c:pt>
                <c:pt idx="8">
                  <c:v>2006</c:v>
                </c:pt>
                <c:pt idx="9">
                  <c:v>2008</c:v>
                </c:pt>
                <c:pt idx="10">
                  <c:v>2010</c:v>
                </c:pt>
                <c:pt idx="11">
                  <c:v>2012</c:v>
                </c:pt>
                <c:pt idx="12">
                  <c:v>2013</c:v>
                </c:pt>
              </c:numCache>
            </c:numRef>
          </c:cat>
          <c:val>
            <c:numRef>
              <c:f>Sheet1!$B$2:$N$2</c:f>
              <c:numCache>
                <c:formatCode>General</c:formatCode>
                <c:ptCount val="13"/>
                <c:pt idx="0">
                  <c:v>3</c:v>
                </c:pt>
                <c:pt idx="1">
                  <c:v>20.8</c:v>
                </c:pt>
                <c:pt idx="2">
                  <c:v>24.2</c:v>
                </c:pt>
                <c:pt idx="3">
                  <c:v>22.5</c:v>
                </c:pt>
                <c:pt idx="4">
                  <c:v>19.2</c:v>
                </c:pt>
                <c:pt idx="5">
                  <c:v>24.9</c:v>
                </c:pt>
                <c:pt idx="6">
                  <c:v>26.2</c:v>
                </c:pt>
                <c:pt idx="7">
                  <c:v>25</c:v>
                </c:pt>
                <c:pt idx="8">
                  <c:v>32</c:v>
                </c:pt>
                <c:pt idx="9">
                  <c:v>33.6</c:v>
                </c:pt>
                <c:pt idx="10">
                  <c:v>37.1</c:v>
                </c:pt>
                <c:pt idx="11">
                  <c:v>36.700000000000003</c:v>
                </c:pt>
                <c:pt idx="12">
                  <c:v>72.8</c:v>
                </c:pt>
              </c:numCache>
            </c:numRef>
          </c:val>
        </c:ser>
        <c:dLbls>
          <c:showVal val="1"/>
        </c:dLbls>
        <c:gapWidth val="40"/>
        <c:overlap val="100"/>
        <c:axId val="94002176"/>
        <c:axId val="102105856"/>
      </c:barChart>
      <c:catAx>
        <c:axId val="94002176"/>
        <c:scaling>
          <c:orientation val="minMax"/>
        </c:scaling>
        <c:axPos val="b"/>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Arial"/>
                <a:ea typeface="Arial"/>
                <a:cs typeface="Arial"/>
              </a:defRPr>
            </a:pPr>
            <a:endParaRPr lang="en-US"/>
          </a:p>
        </c:txPr>
        <c:crossAx val="102105856"/>
        <c:crosses val="autoZero"/>
        <c:auto val="1"/>
        <c:lblAlgn val="ctr"/>
        <c:lblOffset val="100"/>
        <c:tickLblSkip val="1"/>
        <c:tickMarkSkip val="1"/>
      </c:catAx>
      <c:valAx>
        <c:axId val="102105856"/>
        <c:scaling>
          <c:orientation val="minMax"/>
        </c:scaling>
        <c:axPos val="l"/>
        <c:title>
          <c:tx>
            <c:rich>
              <a:bodyPr/>
              <a:lstStyle/>
              <a:p>
                <a:pPr>
                  <a:defRPr sz="1025" b="1" i="0" u="none" strike="noStrike" baseline="0">
                    <a:solidFill>
                      <a:srgbClr val="000000"/>
                    </a:solidFill>
                    <a:latin typeface="Arial"/>
                    <a:ea typeface="Arial"/>
                    <a:cs typeface="Arial"/>
                  </a:defRPr>
                </a:pPr>
                <a:r>
                  <a:rPr lang="en-US"/>
                  <a:t>Millions of Pounds Recycled</a:t>
                </a:r>
              </a:p>
            </c:rich>
          </c:tx>
          <c:layout>
            <c:manualLayout>
              <c:xMode val="edge"/>
              <c:yMode val="edge"/>
              <c:x val="3.8147138964577658E-2"/>
              <c:y val="4.4280442804428069E-2"/>
            </c:manualLayout>
          </c:layout>
          <c:spPr>
            <a:noFill/>
            <a:ln w="25400">
              <a:noFill/>
            </a:ln>
          </c:spPr>
        </c:title>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Arial"/>
                <a:ea typeface="Arial"/>
                <a:cs typeface="Arial"/>
              </a:defRPr>
            </a:pPr>
            <a:endParaRPr lang="en-US"/>
          </a:p>
        </c:txPr>
        <c:crossAx val="94002176"/>
        <c:crosses val="autoZero"/>
        <c:crossBetween val="between"/>
      </c:valAx>
      <c:spPr>
        <a:gradFill rotWithShape="0">
          <a:gsLst>
            <a:gs pos="0">
              <a:srgbClr val="FFFFFF">
                <a:gamma/>
                <a:tint val="3922"/>
                <a:invGamma/>
              </a:srgbClr>
            </a:gs>
            <a:gs pos="100000">
              <a:srgbClr val="FFFFFF"/>
            </a:gs>
          </a:gsLst>
          <a:lin ang="5400000" scaled="1"/>
        </a:gradFill>
        <a:ln w="25400">
          <a:noFill/>
        </a:ln>
      </c:spPr>
    </c:plotArea>
    <c:plotVisOnly val="1"/>
    <c:dispBlanksAs val="gap"/>
  </c:chart>
  <c:spPr>
    <a:noFill/>
    <a:ln>
      <a:noFill/>
    </a:ln>
  </c:spPr>
  <c:txPr>
    <a:bodyPr/>
    <a:lstStyle/>
    <a:p>
      <a:pPr>
        <a:defRPr sz="1200" b="1" i="0" u="none" strike="noStrike" baseline="0">
          <a:solidFill>
            <a:srgbClr val="000000"/>
          </a:solidFill>
          <a:latin typeface="Arial"/>
          <a:ea typeface="Arial"/>
          <a:cs typeface="Arial"/>
        </a:defRPr>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style val="8"/>
  <c:chart>
    <c:autoTitleDeleted val="1"/>
    <c:plotArea>
      <c:layout/>
      <c:barChart>
        <c:barDir val="col"/>
        <c:grouping val="clustered"/>
        <c:ser>
          <c:idx val="0"/>
          <c:order val="0"/>
          <c:tx>
            <c:strRef>
              <c:f>Sheet1!$B$1</c:f>
              <c:strCache>
                <c:ptCount val="1"/>
                <c:pt idx="0">
                  <c:v>Column2</c:v>
                </c:pt>
              </c:strCache>
            </c:strRef>
          </c:tx>
          <c:cat>
            <c:numRef>
              <c:f>Sheet1!$A$2:$A$14</c:f>
              <c:numCache>
                <c:formatCode>General</c:formatCode>
                <c:ptCount val="13"/>
                <c:pt idx="0">
                  <c:v>1990</c:v>
                </c:pt>
                <c:pt idx="1">
                  <c:v>1992</c:v>
                </c:pt>
                <c:pt idx="2">
                  <c:v>1994</c:v>
                </c:pt>
                <c:pt idx="3">
                  <c:v>1996</c:v>
                </c:pt>
                <c:pt idx="4">
                  <c:v>1998</c:v>
                </c:pt>
                <c:pt idx="5">
                  <c:v>2000</c:v>
                </c:pt>
                <c:pt idx="6">
                  <c:v>2002</c:v>
                </c:pt>
                <c:pt idx="7">
                  <c:v>2004</c:v>
                </c:pt>
                <c:pt idx="8">
                  <c:v>2006</c:v>
                </c:pt>
                <c:pt idx="9">
                  <c:v>2008</c:v>
                </c:pt>
                <c:pt idx="10">
                  <c:v>2010</c:v>
                </c:pt>
                <c:pt idx="11">
                  <c:v>2012</c:v>
                </c:pt>
                <c:pt idx="12">
                  <c:v>2013</c:v>
                </c:pt>
              </c:numCache>
            </c:numRef>
          </c:cat>
          <c:val>
            <c:numRef>
              <c:f>Sheet1!$B$2:$B$14</c:f>
              <c:numCache>
                <c:formatCode>General</c:formatCode>
                <c:ptCount val="13"/>
                <c:pt idx="0">
                  <c:v>3</c:v>
                </c:pt>
                <c:pt idx="1">
                  <c:v>20.8</c:v>
                </c:pt>
                <c:pt idx="2">
                  <c:v>24.2</c:v>
                </c:pt>
                <c:pt idx="3">
                  <c:v>22.5</c:v>
                </c:pt>
                <c:pt idx="4">
                  <c:v>19.2</c:v>
                </c:pt>
                <c:pt idx="5">
                  <c:v>24.9</c:v>
                </c:pt>
                <c:pt idx="6">
                  <c:v>26.2</c:v>
                </c:pt>
                <c:pt idx="7">
                  <c:v>25</c:v>
                </c:pt>
                <c:pt idx="8">
                  <c:v>32</c:v>
                </c:pt>
                <c:pt idx="9">
                  <c:v>33.6</c:v>
                </c:pt>
                <c:pt idx="10">
                  <c:v>37.1</c:v>
                </c:pt>
                <c:pt idx="11">
                  <c:v>36.700000000000003</c:v>
                </c:pt>
                <c:pt idx="12">
                  <c:v>72.8</c:v>
                </c:pt>
              </c:numCache>
            </c:numRef>
          </c:val>
        </c:ser>
        <c:gapWidth val="64"/>
        <c:overlap val="-1"/>
        <c:axId val="102124544"/>
        <c:axId val="102175488"/>
      </c:barChart>
      <c:catAx>
        <c:axId val="102124544"/>
        <c:scaling>
          <c:orientation val="minMax"/>
        </c:scaling>
        <c:axPos val="b"/>
        <c:numFmt formatCode="General" sourceLinked="1"/>
        <c:majorTickMark val="none"/>
        <c:tickLblPos val="nextTo"/>
        <c:crossAx val="102175488"/>
        <c:crosses val="autoZero"/>
        <c:auto val="1"/>
        <c:lblAlgn val="ctr"/>
        <c:lblOffset val="100"/>
      </c:catAx>
      <c:valAx>
        <c:axId val="102175488"/>
        <c:scaling>
          <c:orientation val="minMax"/>
        </c:scaling>
        <c:axPos val="l"/>
        <c:title>
          <c:tx>
            <c:rich>
              <a:bodyPr/>
              <a:lstStyle/>
              <a:p>
                <a:pPr>
                  <a:defRPr/>
                </a:pPr>
                <a:r>
                  <a:rPr lang="en-US"/>
                  <a:t>Millions of Pounds Recycled</a:t>
                </a:r>
              </a:p>
            </c:rich>
          </c:tx>
          <c:layout/>
        </c:title>
        <c:numFmt formatCode="General" sourceLinked="1"/>
        <c:tickLblPos val="nextTo"/>
        <c:crossAx val="102124544"/>
        <c:crosses val="autoZero"/>
        <c:crossBetween val="between"/>
      </c:valAx>
    </c:plotArea>
    <c:plotVisOnly val="1"/>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n-US"/>
  <c:chart>
    <c:autoTitleDeleted val="1"/>
    <c:plotArea>
      <c:layout/>
      <c:lineChart>
        <c:grouping val="standard"/>
        <c:ser>
          <c:idx val="0"/>
          <c:order val="0"/>
          <c:tx>
            <c:strRef>
              <c:f>Sheet1!$B$1</c:f>
              <c:strCache>
                <c:ptCount val="1"/>
                <c:pt idx="0">
                  <c:v>Column1</c:v>
                </c:pt>
              </c:strCache>
            </c:strRef>
          </c:tx>
          <c:cat>
            <c:numRef>
              <c:f>Sheet1!$A$2:$A$14</c:f>
              <c:numCache>
                <c:formatCode>General</c:formatCode>
                <c:ptCount val="13"/>
                <c:pt idx="0">
                  <c:v>1990</c:v>
                </c:pt>
                <c:pt idx="1">
                  <c:v>1992</c:v>
                </c:pt>
                <c:pt idx="2">
                  <c:v>1994</c:v>
                </c:pt>
                <c:pt idx="3">
                  <c:v>1996</c:v>
                </c:pt>
                <c:pt idx="4">
                  <c:v>1998</c:v>
                </c:pt>
                <c:pt idx="5">
                  <c:v>2000</c:v>
                </c:pt>
                <c:pt idx="6">
                  <c:v>2002</c:v>
                </c:pt>
                <c:pt idx="7">
                  <c:v>2004</c:v>
                </c:pt>
                <c:pt idx="8">
                  <c:v>2006</c:v>
                </c:pt>
                <c:pt idx="9">
                  <c:v>2008</c:v>
                </c:pt>
                <c:pt idx="10">
                  <c:v>2010</c:v>
                </c:pt>
                <c:pt idx="11">
                  <c:v>2012</c:v>
                </c:pt>
                <c:pt idx="12">
                  <c:v>2013</c:v>
                </c:pt>
              </c:numCache>
            </c:numRef>
          </c:cat>
          <c:val>
            <c:numRef>
              <c:f>Sheet1!$B$2:$B$14</c:f>
              <c:numCache>
                <c:formatCode>General</c:formatCode>
                <c:ptCount val="13"/>
                <c:pt idx="0">
                  <c:v>1.7</c:v>
                </c:pt>
                <c:pt idx="1">
                  <c:v>9.5</c:v>
                </c:pt>
                <c:pt idx="2">
                  <c:v>10.200000000000001</c:v>
                </c:pt>
                <c:pt idx="3">
                  <c:v>10.4</c:v>
                </c:pt>
                <c:pt idx="4">
                  <c:v>9.5</c:v>
                </c:pt>
                <c:pt idx="5">
                  <c:v>12.1</c:v>
                </c:pt>
                <c:pt idx="6">
                  <c:v>13</c:v>
                </c:pt>
                <c:pt idx="7">
                  <c:v>12</c:v>
                </c:pt>
                <c:pt idx="8">
                  <c:v>19.3</c:v>
                </c:pt>
                <c:pt idx="9">
                  <c:v>19.5</c:v>
                </c:pt>
                <c:pt idx="10">
                  <c:v>28</c:v>
                </c:pt>
                <c:pt idx="11">
                  <c:v>30</c:v>
                </c:pt>
                <c:pt idx="12">
                  <c:v>34</c:v>
                </c:pt>
              </c:numCache>
            </c:numRef>
          </c:val>
        </c:ser>
        <c:marker val="1"/>
        <c:axId val="102191104"/>
        <c:axId val="102192640"/>
      </c:lineChart>
      <c:catAx>
        <c:axId val="102191104"/>
        <c:scaling>
          <c:orientation val="minMax"/>
        </c:scaling>
        <c:axPos val="b"/>
        <c:numFmt formatCode="General" sourceLinked="1"/>
        <c:tickLblPos val="nextTo"/>
        <c:crossAx val="102192640"/>
        <c:crosses val="autoZero"/>
        <c:auto val="1"/>
        <c:lblAlgn val="ctr"/>
        <c:lblOffset val="100"/>
      </c:catAx>
      <c:valAx>
        <c:axId val="102192640"/>
        <c:scaling>
          <c:orientation val="minMax"/>
        </c:scaling>
        <c:axPos val="l"/>
        <c:majorGridlines/>
        <c:numFmt formatCode="General" sourceLinked="1"/>
        <c:tickLblPos val="nextTo"/>
        <c:crossAx val="102191104"/>
        <c:crosses val="autoZero"/>
        <c:crossBetween val="between"/>
      </c:valAx>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BD8C92-6843-4A95-B0DA-2F14DD62DA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6</Pages>
  <Words>1511</Words>
  <Characters>8615</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Betsy</dc:creator>
  <cp:lastModifiedBy>Betsy</cp:lastModifiedBy>
  <cp:revision>9</cp:revision>
  <cp:lastPrinted>2014-08-13T16:09:00Z</cp:lastPrinted>
  <dcterms:created xsi:type="dcterms:W3CDTF">2014-08-13T15:39:00Z</dcterms:created>
  <dcterms:modified xsi:type="dcterms:W3CDTF">2014-08-13T16:14:00Z</dcterms:modified>
</cp:coreProperties>
</file>